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41" w:rsidRDefault="006558FE">
      <w:pPr>
        <w:spacing w:before="532" w:after="0"/>
        <w:jc w:val="center"/>
      </w:pPr>
      <w:r>
        <w:rPr>
          <w:rFonts w:ascii="Arial Unicode MS" w:eastAsia="Arial Unicode MS" w:hAnsi="Arial Unicode MS" w:cs="Arial Unicode MS"/>
          <w:color w:val="000000"/>
          <w:sz w:val="40"/>
        </w:rPr>
        <w:t>Process</w:t>
      </w:r>
      <w:r w:rsidR="00707173">
        <w:rPr>
          <w:rFonts w:ascii="Arial Unicode MS" w:eastAsia="Arial Unicode MS" w:hAnsi="Arial Unicode MS" w:cs="Arial Unicode MS"/>
          <w:color w:val="000000"/>
          <w:sz w:val="40"/>
        </w:rPr>
        <w:t xml:space="preserve"> </w:t>
      </w:r>
      <w:r>
        <w:rPr>
          <w:rFonts w:ascii="Arial Unicode MS" w:eastAsia="Arial Unicode MS" w:hAnsi="Arial Unicode MS" w:cs="Arial Unicode MS"/>
          <w:color w:val="000000"/>
          <w:sz w:val="40"/>
        </w:rPr>
        <w:t>Costing</w:t>
      </w:r>
      <w:r w:rsidR="00E30AC2">
        <w:rPr>
          <w:rFonts w:ascii="Arial Unicode MS" w:eastAsia="Arial Unicode MS" w:hAnsi="Arial Unicode MS" w:cs="Arial Unicode MS"/>
          <w:color w:val="000000"/>
          <w:sz w:val="40"/>
        </w:rPr>
        <w:t xml:space="preserve"> Quiz</w:t>
      </w:r>
    </w:p>
    <w:p w:rsidR="00631E41" w:rsidRDefault="006558FE">
      <w:pPr>
        <w:spacing w:before="239" w:after="239"/>
        <w:jc w:val="center"/>
      </w:pPr>
      <w:r>
        <w:rPr>
          <w:rFonts w:ascii="Arial Unicode MS" w:eastAsia="Arial Unicode MS" w:hAnsi="Arial Unicode MS" w:cs="Arial Unicode MS"/>
          <w:i/>
          <w:color w:val="000000"/>
          <w:sz w:val="18"/>
        </w:rPr>
        <w:t>Student: ___________________________________________________________________________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432"/>
        <w:gridCol w:w="10368"/>
      </w:tblGrid>
      <w:tr w:rsidR="00631E41">
        <w:tc>
          <w:tcPr>
            <w:tcW w:w="200" w:type="pct"/>
          </w:tcPr>
          <w:p w:rsidR="00631E41" w:rsidRDefault="006558FE">
            <w:pPr>
              <w:keepNext/>
              <w:keepLines/>
              <w:spacing w:after="0"/>
            </w:pPr>
            <w:r>
              <w:rPr>
                <w:rFonts w:ascii="Arial Unicode MS" w:eastAsia="Arial Unicode MS" w:hAnsi="Arial Unicode MS" w:cs="Arial Unicode MS"/>
                <w:color w:val="000000"/>
                <w:sz w:val="24"/>
              </w:rPr>
              <w:t>1.</w:t>
            </w:r>
          </w:p>
        </w:tc>
        <w:tc>
          <w:tcPr>
            <w:tcW w:w="4800" w:type="pct"/>
          </w:tcPr>
          <w:p w:rsidR="00631E41" w:rsidRDefault="006558FE">
            <w:pPr>
              <w:keepNext/>
              <w:keepLines/>
              <w:spacing w:after="0"/>
            </w:pPr>
            <w:r>
              <w:rPr>
                <w:rFonts w:ascii="Arial Unicode MS" w:eastAsia="Arial Unicode MS" w:hAnsi="Arial Unicode MS" w:cs="Arial Unicode MS"/>
                <w:color w:val="000000"/>
                <w:sz w:val="24"/>
              </w:rPr>
              <w:t xml:space="preserve">The Assembly Department started the month with 59,000 units in its beginning work in process inventory. An additional 274,000 units were transferred in from the prior department during the month to begin processing in the Assembly Department. There were 21,000 units in the ending work in process inventory of the Assembly Department.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How many units were transferred to the next processing department during the month?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68"/>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A.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333,000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68"/>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B.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236,000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C.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354,000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8"/>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D.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312,000</w:t>
                  </w:r>
                </w:p>
              </w:tc>
            </w:tr>
          </w:tbl>
          <w:p w:rsidR="00631E41" w:rsidRDefault="00631E41"/>
        </w:tc>
      </w:tr>
    </w:tbl>
    <w:p w:rsidR="00631E41" w:rsidRDefault="006558F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631E41">
        <w:tc>
          <w:tcPr>
            <w:tcW w:w="200" w:type="pct"/>
          </w:tcPr>
          <w:p w:rsidR="00631E41" w:rsidRDefault="006558FE">
            <w:pPr>
              <w:keepNext/>
              <w:keepLines/>
              <w:spacing w:after="0"/>
            </w:pPr>
            <w:r>
              <w:rPr>
                <w:rFonts w:ascii="Arial Unicode MS" w:eastAsia="Arial Unicode MS" w:hAnsi="Arial Unicode MS" w:cs="Arial Unicode MS"/>
                <w:color w:val="000000"/>
                <w:sz w:val="24"/>
              </w:rPr>
              <w:t>2.</w:t>
            </w:r>
          </w:p>
        </w:tc>
        <w:tc>
          <w:tcPr>
            <w:tcW w:w="4800" w:type="pct"/>
          </w:tcPr>
          <w:p w:rsidR="00631E41" w:rsidRDefault="006558FE">
            <w:pPr>
              <w:keepNext/>
              <w:keepLines/>
              <w:spacing w:after="0"/>
            </w:pPr>
            <w:r>
              <w:rPr>
                <w:rFonts w:ascii="Arial Unicode MS" w:eastAsia="Arial Unicode MS" w:hAnsi="Arial Unicode MS" w:cs="Arial Unicode MS"/>
                <w:color w:val="000000"/>
                <w:sz w:val="24"/>
              </w:rPr>
              <w:t>Dewey Company uses the weighted-average method in its process costing system. The first processing department, the Welding Department, started the month with 15,000 units in its beginning work in process inventory that were 20% complete with respect to conversion costs. The conversion cost in this beginning work in process inventory was $19,200. An additional 86,000 units were started into production during the month. There were 13,000 units in the ending work in process inventory of the Welding Department that were 60% complete with respect to conversion costs. A total of $575,360 in conversion costs were incurred in the department during the month. The cost per equivalent unit for conversion costs is closest to: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35"/>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A.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$5.812</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35"/>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B.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$6.206</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5"/>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C.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$6.400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5"/>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D.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$6.690</w:t>
                  </w:r>
                </w:p>
              </w:tc>
            </w:tr>
          </w:tbl>
          <w:p w:rsidR="00631E41" w:rsidRDefault="00631E41"/>
        </w:tc>
      </w:tr>
    </w:tbl>
    <w:p w:rsidR="00631E41" w:rsidRDefault="006558F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631E41">
        <w:tc>
          <w:tcPr>
            <w:tcW w:w="200" w:type="pct"/>
          </w:tcPr>
          <w:p w:rsidR="00631E41" w:rsidRDefault="006558FE">
            <w:pPr>
              <w:keepNext/>
              <w:keepLines/>
              <w:spacing w:after="0"/>
            </w:pPr>
            <w:r>
              <w:rPr>
                <w:rFonts w:ascii="Arial Unicode MS" w:eastAsia="Arial Unicode MS" w:hAnsi="Arial Unicode MS" w:cs="Arial Unicode MS"/>
                <w:color w:val="000000"/>
                <w:sz w:val="24"/>
              </w:rPr>
              <w:lastRenderedPageBreak/>
              <w:t>3.</w:t>
            </w:r>
          </w:p>
        </w:tc>
        <w:tc>
          <w:tcPr>
            <w:tcW w:w="4800" w:type="pct"/>
          </w:tcPr>
          <w:p w:rsidR="00631E41" w:rsidRDefault="006558FE">
            <w:pPr>
              <w:keepNext/>
              <w:keepLines/>
              <w:spacing w:after="0"/>
            </w:pPr>
            <w:r>
              <w:rPr>
                <w:rFonts w:ascii="Arial Unicode MS" w:eastAsia="Arial Unicode MS" w:hAnsi="Arial Unicode MS" w:cs="Arial Unicode MS"/>
                <w:color w:val="000000"/>
                <w:sz w:val="24"/>
              </w:rPr>
              <w:t>Process costing would be appropriate for each of the following except: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375"/>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A.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custom</w:t>
                  </w:r>
                  <w:proofErr w:type="gramEnd"/>
                  <w:r>
                    <w:rPr>
                      <w:rFonts w:ascii="Arial Unicode MS" w:eastAsia="Arial Unicode MS" w:hAnsi="Arial Unicode MS" w:cs="Arial Unicode MS"/>
                      <w:color w:val="000000"/>
                      <w:sz w:val="24"/>
                    </w:rPr>
                    <w:t xml:space="preserve"> furniture manufacturing.</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61"/>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B.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oil</w:t>
                  </w:r>
                  <w:proofErr w:type="gramEnd"/>
                  <w:r>
                    <w:rPr>
                      <w:rFonts w:ascii="Arial Unicode MS" w:eastAsia="Arial Unicode MS" w:hAnsi="Arial Unicode MS" w:cs="Arial Unicode MS"/>
                      <w:color w:val="000000"/>
                      <w:sz w:val="24"/>
                    </w:rPr>
                    <w:t xml:space="preserve"> refining.</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8"/>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C.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grain</w:t>
                  </w:r>
                  <w:proofErr w:type="gramEnd"/>
                  <w:r>
                    <w:rPr>
                      <w:rFonts w:ascii="Arial Unicode MS" w:eastAsia="Arial Unicode MS" w:hAnsi="Arial Unicode MS" w:cs="Arial Unicode MS"/>
                      <w:color w:val="000000"/>
                      <w:sz w:val="24"/>
                    </w:rPr>
                    <w:t xml:space="preserve"> milling.</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82"/>
            </w:tblGrid>
            <w:tr w:rsidR="00631E41">
              <w:tc>
                <w:tcPr>
                  <w:tcW w:w="0" w:type="auto"/>
                </w:tcPr>
                <w:p w:rsidR="00631E41" w:rsidRDefault="006558FE">
                  <w:pPr>
                    <w:keepNext/>
                    <w:keepLines/>
                    <w:spacing w:after="0"/>
                  </w:pPr>
                  <w:r>
                    <w:rPr>
                      <w:rFonts w:ascii="Arial Unicode MS" w:eastAsia="Arial Unicode MS" w:hAnsi="Arial Unicode MS" w:cs="Arial Unicode MS"/>
                      <w:color w:val="000000"/>
                      <w:sz w:val="24"/>
                    </w:rPr>
                    <w:t>D.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newsprint</w:t>
                  </w:r>
                  <w:proofErr w:type="gramEnd"/>
                  <w:r>
                    <w:rPr>
                      <w:rFonts w:ascii="Arial Unicode MS" w:eastAsia="Arial Unicode MS" w:hAnsi="Arial Unicode MS" w:cs="Arial Unicode MS"/>
                      <w:color w:val="000000"/>
                      <w:sz w:val="24"/>
                    </w:rPr>
                    <w:t xml:space="preserve"> production.</w:t>
                  </w:r>
                </w:p>
              </w:tc>
            </w:tr>
          </w:tbl>
          <w:p w:rsidR="00631E41" w:rsidRDefault="00631E41"/>
        </w:tc>
      </w:tr>
    </w:tbl>
    <w:p w:rsidR="00631E41" w:rsidRDefault="006558F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631E41">
        <w:tc>
          <w:tcPr>
            <w:tcW w:w="200" w:type="pct"/>
          </w:tcPr>
          <w:p w:rsidR="00631E41" w:rsidRDefault="006558FE">
            <w:pPr>
              <w:keepNext/>
              <w:keepLines/>
              <w:spacing w:after="0"/>
            </w:pPr>
            <w:r>
              <w:rPr>
                <w:rFonts w:ascii="Arial Unicode MS" w:eastAsia="Arial Unicode MS" w:hAnsi="Arial Unicode MS" w:cs="Arial Unicode MS"/>
                <w:color w:val="000000"/>
                <w:sz w:val="24"/>
              </w:rPr>
              <w:t>4.</w:t>
            </w:r>
          </w:p>
        </w:tc>
        <w:tc>
          <w:tcPr>
            <w:tcW w:w="4800" w:type="pct"/>
          </w:tcPr>
          <w:p w:rsidR="00631E41" w:rsidRDefault="006558FE">
            <w:pPr>
              <w:keepNext/>
              <w:keepLines/>
              <w:spacing w:after="0"/>
            </w:pPr>
            <w:r>
              <w:rPr>
                <w:rFonts w:ascii="Arial Unicode MS" w:eastAsia="Arial Unicode MS" w:hAnsi="Arial Unicode MS" w:cs="Arial Unicode MS"/>
                <w:color w:val="000000"/>
                <w:sz w:val="24"/>
              </w:rPr>
              <w:t xml:space="preserve">The following journal entry would be made in a processing costing system when units that have been completed in the final processing department are transferred to the finished goods warehouse: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extent cx="3276600" cy="657225"/>
                  <wp:effectExtent l="0" t="0" r="0" b="9525"/>
                  <wp:docPr id="1" name="https://www.eztestonline.com/289126/12898519166770700.tp4?REQUEST=SHOWmedia&amp;media=04-01-01PRINT.png"/>
                  <wp:cNvGraphicFramePr/>
                  <a:graphic xmlns:a="http://schemas.openxmlformats.org/drawingml/2006/main">
                    <a:graphicData uri="http://schemas.openxmlformats.org/drawingml/2006/picture">
                      <pic:pic xmlns:pic="http://schemas.openxmlformats.org/drawingml/2006/picture">
                        <pic:nvPicPr>
                          <pic:cNvPr id="0" name="https://www.eztestonline.com/289126/12898519166770700.tp4?REQUEST=SHOWmedia&amp;media=04-01-01PRINT.png"/>
                          <pic:cNvPicPr/>
                        </pic:nvPicPr>
                        <pic:blipFill>
                          <a:blip r:embed="rId4"/>
                          <a:stretch/>
                        </pic:blipFill>
                        <pic:spPr>
                          <a:xfrm>
                            <a:off x="0" y="0"/>
                            <a:ext cx="3281895" cy="658287"/>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bookmarkStart w:id="0" w:name="_GoBack"/>
            <w:bookmarkEnd w:id="0"/>
          </w:p>
        </w:tc>
      </w:tr>
    </w:tbl>
    <w:p w:rsidR="00631E41" w:rsidRDefault="00631E41">
      <w:pPr>
        <w:keepLines/>
        <w:spacing w:after="0"/>
      </w:pPr>
    </w:p>
    <w:tbl>
      <w:tblPr>
        <w:tblW w:w="5000" w:type="pct"/>
        <w:tblCellMar>
          <w:left w:w="0" w:type="dxa"/>
          <w:right w:w="0" w:type="dxa"/>
        </w:tblCellMar>
        <w:tblLook w:val="0000" w:firstRow="0" w:lastRow="0" w:firstColumn="0" w:lastColumn="0" w:noHBand="0" w:noVBand="0"/>
      </w:tblPr>
      <w:tblGrid>
        <w:gridCol w:w="432"/>
        <w:gridCol w:w="10368"/>
      </w:tblGrid>
      <w:tr w:rsidR="00631E41">
        <w:tc>
          <w:tcPr>
            <w:tcW w:w="200" w:type="pct"/>
          </w:tcPr>
          <w:p w:rsidR="00631E41" w:rsidRDefault="006558FE">
            <w:pPr>
              <w:keepNext/>
              <w:keepLines/>
              <w:spacing w:after="0"/>
            </w:pPr>
            <w:r>
              <w:rPr>
                <w:rFonts w:ascii="Arial Unicode MS" w:eastAsia="Arial Unicode MS" w:hAnsi="Arial Unicode MS" w:cs="Arial Unicode MS"/>
                <w:color w:val="000000"/>
                <w:sz w:val="24"/>
              </w:rPr>
              <w:t>5.</w:t>
            </w:r>
          </w:p>
        </w:tc>
        <w:tc>
          <w:tcPr>
            <w:tcW w:w="4800" w:type="pct"/>
          </w:tcPr>
          <w:p w:rsidR="00631E41" w:rsidRDefault="006558FE">
            <w:pPr>
              <w:keepNext/>
              <w:keepLines/>
              <w:spacing w:after="0"/>
            </w:pPr>
            <w:r>
              <w:rPr>
                <w:rFonts w:ascii="Arial Unicode MS" w:eastAsia="Arial Unicode MS" w:hAnsi="Arial Unicode MS" w:cs="Arial Unicode MS"/>
                <w:color w:val="000000"/>
                <w:sz w:val="24"/>
              </w:rPr>
              <w:t>In a process costing system, overhead is allocated to departments before being applied to units of product.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631E41" w:rsidRDefault="00631E41">
      <w:pPr>
        <w:keepLines/>
        <w:spacing w:after="0"/>
      </w:pPr>
    </w:p>
    <w:tbl>
      <w:tblPr>
        <w:tblW w:w="5000" w:type="pct"/>
        <w:tblCellMar>
          <w:left w:w="0" w:type="dxa"/>
          <w:right w:w="0" w:type="dxa"/>
        </w:tblCellMar>
        <w:tblLook w:val="0000" w:firstRow="0" w:lastRow="0" w:firstColumn="0" w:lastColumn="0" w:noHBand="0" w:noVBand="0"/>
      </w:tblPr>
      <w:tblGrid>
        <w:gridCol w:w="432"/>
        <w:gridCol w:w="10368"/>
      </w:tblGrid>
      <w:tr w:rsidR="00631E41">
        <w:tc>
          <w:tcPr>
            <w:tcW w:w="200" w:type="pct"/>
          </w:tcPr>
          <w:p w:rsidR="00631E41" w:rsidRDefault="006558FE">
            <w:pPr>
              <w:keepNext/>
              <w:keepLines/>
              <w:spacing w:after="0"/>
            </w:pPr>
            <w:r>
              <w:rPr>
                <w:rFonts w:ascii="Arial Unicode MS" w:eastAsia="Arial Unicode MS" w:hAnsi="Arial Unicode MS" w:cs="Arial Unicode MS"/>
                <w:color w:val="000000"/>
                <w:sz w:val="24"/>
              </w:rPr>
              <w:t>6.</w:t>
            </w:r>
          </w:p>
        </w:tc>
        <w:tc>
          <w:tcPr>
            <w:tcW w:w="4800" w:type="pct"/>
          </w:tcPr>
          <w:p w:rsidR="00631E41" w:rsidRDefault="006558FE">
            <w:pPr>
              <w:keepNext/>
              <w:keepLines/>
              <w:spacing w:after="0"/>
            </w:pPr>
            <w:r>
              <w:rPr>
                <w:rFonts w:ascii="Arial Unicode MS" w:eastAsia="Arial Unicode MS" w:hAnsi="Arial Unicode MS" w:cs="Arial Unicode MS"/>
                <w:color w:val="000000"/>
                <w:sz w:val="24"/>
              </w:rPr>
              <w:t>The "costs accounted for" portion of the cost reconciliation report includes the cost of ending work in process inventory and the cost of units transferred out.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631E41" w:rsidRDefault="006558FE">
      <w:pPr>
        <w:keepLines/>
        <w:spacing w:after="0"/>
      </w:pPr>
      <w:r>
        <w:rPr>
          <w:rFonts w:ascii="Arial Unicode MS" w:eastAsia="Arial Unicode MS" w:hAnsi="Arial Unicode MS" w:cs="Arial Unicode MS"/>
          <w:color w:val="000000"/>
          <w:sz w:val="18"/>
        </w:rPr>
        <w:t> </w:t>
      </w:r>
    </w:p>
    <w:p w:rsidR="00631E41" w:rsidRDefault="006558FE">
      <w:pPr>
        <w:spacing w:before="239" w:after="239"/>
        <w:sectPr w:rsidR="00631E41">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br/>
      </w:r>
    </w:p>
    <w:p w:rsidR="00631E41" w:rsidRDefault="006558FE">
      <w:pPr>
        <w:spacing w:before="532" w:after="0"/>
        <w:jc w:val="center"/>
      </w:pPr>
      <w:proofErr w:type="spellStart"/>
      <w:r>
        <w:rPr>
          <w:rFonts w:ascii="Arial Unicode MS" w:eastAsia="Arial Unicode MS" w:hAnsi="Arial Unicode MS" w:cs="Arial Unicode MS"/>
          <w:color w:val="000000"/>
          <w:sz w:val="40"/>
        </w:rPr>
        <w:lastRenderedPageBreak/>
        <w:t>ProcessCosting</w:t>
      </w:r>
      <w:proofErr w:type="spellEnd"/>
      <w:r>
        <w:rPr>
          <w:rFonts w:ascii="Arial Unicode MS" w:eastAsia="Arial Unicode MS" w:hAnsi="Arial Unicode MS" w:cs="Arial Unicode MS"/>
          <w:color w:val="000000"/>
          <w:sz w:val="40"/>
        </w:rPr>
        <w:t xml:space="preserve"> </w:t>
      </w:r>
      <w:r>
        <w:rPr>
          <w:rFonts w:ascii="Arial Unicode MS" w:eastAsia="Arial Unicode MS" w:hAnsi="Arial Unicode MS" w:cs="Arial Unicode MS"/>
          <w:color w:val="FF0000"/>
          <w:sz w:val="40"/>
        </w:rPr>
        <w:t>Key</w:t>
      </w:r>
      <w:r>
        <w:rPr>
          <w:rFonts w:ascii="Times,Times New Roman,Times-Rom" w:eastAsia="Times,Times New Roman,Times-Rom" w:hAnsi="Times,Times New Roman,Times-Rom" w:cs="Times,Times New Roman,Times-Rom"/>
          <w:color w:val="000000"/>
          <w:sz w:val="40"/>
        </w:rPr>
        <w:br/>
      </w:r>
      <w:r>
        <w:rPr>
          <w:rFonts w:ascii="Arial Unicode MS" w:eastAsia="Arial Unicode MS" w:hAnsi="Arial Unicode MS" w:cs="Arial Unicode MS"/>
          <w:color w:val="000000"/>
          <w:sz w:val="40"/>
        </w:rPr>
        <w:t> </w:t>
      </w:r>
    </w:p>
    <w:tbl>
      <w:tblPr>
        <w:tblW w:w="5000" w:type="pct"/>
        <w:tblCellMar>
          <w:left w:w="0" w:type="dxa"/>
          <w:right w:w="0" w:type="dxa"/>
        </w:tblCellMar>
        <w:tblLook w:val="0000" w:firstRow="0" w:lastRow="0" w:firstColumn="0" w:lastColumn="0" w:noHBand="0" w:noVBand="0"/>
      </w:tblPr>
      <w:tblGrid>
        <w:gridCol w:w="756"/>
        <w:gridCol w:w="10044"/>
      </w:tblGrid>
      <w:tr w:rsidR="00631E41">
        <w:tc>
          <w:tcPr>
            <w:tcW w:w="350" w:type="pct"/>
          </w:tcPr>
          <w:p w:rsidR="00631E41" w:rsidRDefault="006558FE">
            <w:pPr>
              <w:keepNext/>
              <w:keepLines/>
              <w:spacing w:after="0"/>
            </w:pPr>
            <w:r>
              <w:rPr>
                <w:rFonts w:ascii="Arial Unicode MS" w:eastAsia="Arial Unicode MS" w:hAnsi="Arial Unicode MS" w:cs="Arial Unicode MS"/>
                <w:color w:val="000000"/>
                <w:sz w:val="24"/>
              </w:rPr>
              <w:t>1.</w:t>
            </w:r>
          </w:p>
        </w:tc>
        <w:tc>
          <w:tcPr>
            <w:tcW w:w="4650" w:type="pct"/>
          </w:tcPr>
          <w:p w:rsidR="00631E41" w:rsidRDefault="006558FE">
            <w:pPr>
              <w:keepNext/>
              <w:keepLines/>
              <w:spacing w:after="0"/>
            </w:pPr>
            <w:r>
              <w:rPr>
                <w:rFonts w:ascii="Arial Unicode MS" w:eastAsia="Arial Unicode MS" w:hAnsi="Arial Unicode MS" w:cs="Arial Unicode MS"/>
                <w:color w:val="000000"/>
                <w:sz w:val="24"/>
              </w:rPr>
              <w:t xml:space="preserve">The Assembly Department started the month with 59,000 units in its beginning work in process inventory. An additional 274,000 units were transferred in from the prior department during the month to begin processing in the Assembly Department. There were 21,000 units in the ending work in process inventory of the Assembly Department.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How many units were transferred to the next processing department during the month?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68"/>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333,000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236,000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354,000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8"/>
            </w:tblGrid>
            <w:tr w:rsidR="00631E41">
              <w:tc>
                <w:tcPr>
                  <w:tcW w:w="308" w:type="dxa"/>
                </w:tcPr>
                <w:p w:rsidR="00631E41" w:rsidRDefault="006558FE">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312,000</w:t>
                  </w:r>
                </w:p>
              </w:tc>
            </w:tr>
          </w:tbl>
          <w:p w:rsidR="00631E41" w:rsidRDefault="006558FE">
            <w:pPr>
              <w:keepNext/>
              <w:keepLines/>
              <w:spacing w:before="319" w:after="319"/>
            </w:pPr>
            <w:r>
              <w:rPr>
                <w:noProof/>
              </w:rPr>
              <w:drawing>
                <wp:inline distT="0" distB="0" distL="0" distR="0">
                  <wp:extent cx="3178628" cy="838200"/>
                  <wp:effectExtent l="0" t="0" r="0" b="0"/>
                  <wp:docPr id="2" name="https://www.eztestonline.com/289126/12898519166770700.tp4?REQUEST=SHOWmedia&amp;media=04-11-01aPRINT.png"/>
                  <wp:cNvGraphicFramePr/>
                  <a:graphic xmlns:a="http://schemas.openxmlformats.org/drawingml/2006/main">
                    <a:graphicData uri="http://schemas.openxmlformats.org/drawingml/2006/picture">
                      <pic:pic xmlns:pic="http://schemas.openxmlformats.org/drawingml/2006/picture">
                        <pic:nvPicPr>
                          <pic:cNvPr id="1" name="https://www.eztestonline.com/289126/12898519166770700.tp4?REQUEST=SHOWmedia&amp;media=04-11-01aPRINT.png"/>
                          <pic:cNvPicPr/>
                        </pic:nvPicPr>
                        <pic:blipFill>
                          <a:blip r:embed="rId5"/>
                          <a:stretch/>
                        </pic:blipFill>
                        <pic:spPr>
                          <a:xfrm>
                            <a:off x="0" y="0"/>
                            <a:ext cx="3178628" cy="838200"/>
                          </a:xfrm>
                          <a:prstGeom prst="rect">
                            <a:avLst/>
                          </a:prstGeom>
                        </pic:spPr>
                      </pic:pic>
                    </a:graphicData>
                  </a:graphic>
                </wp:inline>
              </w:drawing>
            </w:r>
          </w:p>
        </w:tc>
      </w:tr>
    </w:tbl>
    <w:p w:rsidR="00631E41" w:rsidRDefault="006558F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631E41">
        <w:tc>
          <w:tcPr>
            <w:tcW w:w="0" w:type="auto"/>
          </w:tcPr>
          <w:p w:rsidR="00631E41" w:rsidRDefault="006558FE">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Garrison - Chapter 004 #11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31E41" w:rsidRDefault="00631E4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631E41">
        <w:tc>
          <w:tcPr>
            <w:tcW w:w="350" w:type="pct"/>
          </w:tcPr>
          <w:p w:rsidR="00631E41" w:rsidRDefault="006558FE">
            <w:pPr>
              <w:keepNext/>
              <w:keepLines/>
              <w:spacing w:after="0"/>
            </w:pPr>
            <w:r>
              <w:rPr>
                <w:rFonts w:ascii="Arial Unicode MS" w:eastAsia="Arial Unicode MS" w:hAnsi="Arial Unicode MS" w:cs="Arial Unicode MS"/>
                <w:color w:val="000000"/>
                <w:sz w:val="24"/>
              </w:rPr>
              <w:t>2.</w:t>
            </w:r>
          </w:p>
        </w:tc>
        <w:tc>
          <w:tcPr>
            <w:tcW w:w="4650" w:type="pct"/>
          </w:tcPr>
          <w:p w:rsidR="00631E41" w:rsidRDefault="006558FE">
            <w:pPr>
              <w:keepNext/>
              <w:keepLines/>
              <w:spacing w:after="0"/>
            </w:pPr>
            <w:r>
              <w:rPr>
                <w:rFonts w:ascii="Arial Unicode MS" w:eastAsia="Arial Unicode MS" w:hAnsi="Arial Unicode MS" w:cs="Arial Unicode MS"/>
                <w:color w:val="000000"/>
                <w:sz w:val="24"/>
              </w:rPr>
              <w:t xml:space="preserve">Dewey Company uses the weighted-average method in its process costing system. The first processing department, the Welding Department, started the month with 15,000 units in its beginning work in process inventory that were 20% complete with respect to conversion costs. The conversion cost in this beginning work in process inventory was $19,200. An additional 86,000 units were started into production during the month. There were 13,000 units in the ending work in process inventory of the Welding Department that were 60% complete with respect to conversion costs. A total of $575,360 in conversion costs were incurred in the department during the month.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The cost per equivalent unit for conversion costs is closest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35"/>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$5.812</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
            </w:tblGrid>
            <w:tr w:rsidR="00631E41">
              <w:tc>
                <w:tcPr>
                  <w:tcW w:w="308" w:type="dxa"/>
                </w:tcPr>
                <w:p w:rsidR="00631E41" w:rsidRDefault="006558FE">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$6.206</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$6.400</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r>
                    <w:rPr>
                      <w:rFonts w:ascii="Arial Unicode MS" w:eastAsia="Arial Unicode MS" w:hAnsi="Arial Unicode MS" w:cs="Arial Unicode MS"/>
                      <w:color w:val="000000"/>
                      <w:sz w:val="24"/>
                    </w:rPr>
                    <w:t>$6.690</w:t>
                  </w:r>
                </w:p>
              </w:tc>
            </w:tr>
          </w:tbl>
          <w:p w:rsidR="00631E41" w:rsidRDefault="006558FE">
            <w:pPr>
              <w:keepNext/>
              <w:keepLines/>
              <w:spacing w:before="319" w:after="319"/>
            </w:pPr>
            <w:r>
              <w:rPr>
                <w:noProof/>
              </w:rPr>
              <w:drawing>
                <wp:inline distT="0" distB="0" distL="0" distR="0">
                  <wp:extent cx="3352800" cy="3058885"/>
                  <wp:effectExtent l="0" t="0" r="0" b="0"/>
                  <wp:docPr id="3" name="https://www.eztestonline.com/289126/12898519166770700.tp4?REQUEST=SHOWmedia&amp;media=04-13-01aPRINT.png"/>
                  <wp:cNvGraphicFramePr/>
                  <a:graphic xmlns:a="http://schemas.openxmlformats.org/drawingml/2006/main">
                    <a:graphicData uri="http://schemas.openxmlformats.org/drawingml/2006/picture">
                      <pic:pic xmlns:pic="http://schemas.openxmlformats.org/drawingml/2006/picture">
                        <pic:nvPicPr>
                          <pic:cNvPr id="2" name="https://www.eztestonline.com/289126/12898519166770700.tp4?REQUEST=SHOWmedia&amp;media=04-13-01aPRINT.png"/>
                          <pic:cNvPicPr/>
                        </pic:nvPicPr>
                        <pic:blipFill>
                          <a:blip r:embed="rId6"/>
                          <a:stretch/>
                        </pic:blipFill>
                        <pic:spPr>
                          <a:xfrm>
                            <a:off x="0" y="0"/>
                            <a:ext cx="3352800" cy="3058885"/>
                          </a:xfrm>
                          <a:prstGeom prst="rect">
                            <a:avLst/>
                          </a:prstGeom>
                        </pic:spPr>
                      </pic:pic>
                    </a:graphicData>
                  </a:graphic>
                </wp:inline>
              </w:drawing>
            </w:r>
          </w:p>
        </w:tc>
      </w:tr>
    </w:tbl>
    <w:p w:rsidR="00631E41" w:rsidRDefault="006558F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631E41">
        <w:tc>
          <w:tcPr>
            <w:tcW w:w="0" w:type="auto"/>
          </w:tcPr>
          <w:p w:rsidR="00631E41" w:rsidRDefault="006558FE">
            <w:pPr>
              <w:keepLines/>
              <w:spacing w:after="0"/>
              <w:jc w:val="right"/>
            </w:pPr>
            <w:r>
              <w:rPr>
                <w:rFonts w:ascii="Arial Unicode MS" w:eastAsia="Arial Unicode MS" w:hAnsi="Arial Unicode MS" w:cs="Arial Unicode MS"/>
                <w:i/>
                <w:color w:val="000000"/>
                <w:sz w:val="16"/>
              </w:rPr>
              <w:lastRenderedPageBreak/>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Garrison - Chapter 004 #13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31E41" w:rsidRDefault="00631E4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631E41">
        <w:tc>
          <w:tcPr>
            <w:tcW w:w="350" w:type="pct"/>
          </w:tcPr>
          <w:p w:rsidR="00631E41" w:rsidRDefault="006558FE">
            <w:pPr>
              <w:keepNext/>
              <w:keepLines/>
              <w:spacing w:after="0"/>
            </w:pPr>
            <w:r>
              <w:rPr>
                <w:rFonts w:ascii="Arial Unicode MS" w:eastAsia="Arial Unicode MS" w:hAnsi="Arial Unicode MS" w:cs="Arial Unicode MS"/>
                <w:color w:val="000000"/>
                <w:sz w:val="24"/>
              </w:rPr>
              <w:t>3.</w:t>
            </w:r>
          </w:p>
        </w:tc>
        <w:tc>
          <w:tcPr>
            <w:tcW w:w="4650" w:type="pct"/>
          </w:tcPr>
          <w:p w:rsidR="00631E41" w:rsidRDefault="006558FE">
            <w:pPr>
              <w:keepNext/>
              <w:keepLines/>
              <w:spacing w:after="0"/>
            </w:pPr>
            <w:r>
              <w:rPr>
                <w:rFonts w:ascii="Arial Unicode MS" w:eastAsia="Arial Unicode MS" w:hAnsi="Arial Unicode MS" w:cs="Arial Unicode MS"/>
                <w:color w:val="000000"/>
                <w:sz w:val="24"/>
              </w:rPr>
              <w:t>Process costing would be appropriate for each of the following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375"/>
            </w:tblGrid>
            <w:tr w:rsidR="00631E41">
              <w:tc>
                <w:tcPr>
                  <w:tcW w:w="308" w:type="dxa"/>
                </w:tcPr>
                <w:p w:rsidR="00631E41" w:rsidRDefault="006558FE">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custom</w:t>
                  </w:r>
                  <w:proofErr w:type="gramEnd"/>
                  <w:r>
                    <w:rPr>
                      <w:rFonts w:ascii="Arial Unicode MS" w:eastAsia="Arial Unicode MS" w:hAnsi="Arial Unicode MS" w:cs="Arial Unicode MS"/>
                      <w:color w:val="000000"/>
                      <w:sz w:val="24"/>
                    </w:rPr>
                    <w:t xml:space="preserve"> furniture manufacturing.</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oil</w:t>
                  </w:r>
                  <w:proofErr w:type="gramEnd"/>
                  <w:r>
                    <w:rPr>
                      <w:rFonts w:ascii="Arial Unicode MS" w:eastAsia="Arial Unicode MS" w:hAnsi="Arial Unicode MS" w:cs="Arial Unicode MS"/>
                      <w:color w:val="000000"/>
                      <w:sz w:val="24"/>
                    </w:rPr>
                    <w:t xml:space="preserve"> refining.</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8"/>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grain</w:t>
                  </w:r>
                  <w:proofErr w:type="gramEnd"/>
                  <w:r>
                    <w:rPr>
                      <w:rFonts w:ascii="Arial Unicode MS" w:eastAsia="Arial Unicode MS" w:hAnsi="Arial Unicode MS" w:cs="Arial Unicode MS"/>
                      <w:color w:val="000000"/>
                      <w:sz w:val="24"/>
                    </w:rPr>
                    <w:t xml:space="preserve"> milling.</w:t>
                  </w:r>
                </w:p>
              </w:tc>
            </w:tr>
          </w:tbl>
          <w:p w:rsidR="00631E41" w:rsidRDefault="00631E4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2"/>
            </w:tblGrid>
            <w:tr w:rsidR="00631E41">
              <w:tc>
                <w:tcPr>
                  <w:tcW w:w="308" w:type="dxa"/>
                </w:tcPr>
                <w:p w:rsidR="00631E41" w:rsidRDefault="006558FE">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631E41" w:rsidRDefault="006558FE">
                  <w:pPr>
                    <w:keepNext/>
                    <w:keepLines/>
                    <w:spacing w:after="0"/>
                  </w:pPr>
                  <w:proofErr w:type="gramStart"/>
                  <w:r>
                    <w:rPr>
                      <w:rFonts w:ascii="Arial Unicode MS" w:eastAsia="Arial Unicode MS" w:hAnsi="Arial Unicode MS" w:cs="Arial Unicode MS"/>
                      <w:color w:val="000000"/>
                      <w:sz w:val="24"/>
                    </w:rPr>
                    <w:t>newsprint</w:t>
                  </w:r>
                  <w:proofErr w:type="gramEnd"/>
                  <w:r>
                    <w:rPr>
                      <w:rFonts w:ascii="Arial Unicode MS" w:eastAsia="Arial Unicode MS" w:hAnsi="Arial Unicode MS" w:cs="Arial Unicode MS"/>
                      <w:color w:val="000000"/>
                      <w:sz w:val="24"/>
                    </w:rPr>
                    <w:t xml:space="preserve"> production.</w:t>
                  </w:r>
                </w:p>
              </w:tc>
            </w:tr>
          </w:tbl>
          <w:p w:rsidR="00631E41" w:rsidRDefault="00631E41"/>
        </w:tc>
      </w:tr>
    </w:tbl>
    <w:p w:rsidR="00631E41" w:rsidRDefault="006558F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631E41">
        <w:tc>
          <w:tcPr>
            <w:tcW w:w="0" w:type="auto"/>
          </w:tcPr>
          <w:p w:rsidR="00631E41" w:rsidRDefault="006558F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Garrison - Chapter 004 #7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31E41" w:rsidRDefault="00631E4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631E41">
        <w:tc>
          <w:tcPr>
            <w:tcW w:w="350" w:type="pct"/>
          </w:tcPr>
          <w:p w:rsidR="00631E41" w:rsidRDefault="006558FE">
            <w:pPr>
              <w:keepNext/>
              <w:keepLines/>
              <w:spacing w:after="0"/>
            </w:pPr>
            <w:r>
              <w:rPr>
                <w:rFonts w:ascii="Arial Unicode MS" w:eastAsia="Arial Unicode MS" w:hAnsi="Arial Unicode MS" w:cs="Arial Unicode MS"/>
                <w:color w:val="000000"/>
                <w:sz w:val="24"/>
              </w:rPr>
              <w:t>4.</w:t>
            </w:r>
          </w:p>
        </w:tc>
        <w:tc>
          <w:tcPr>
            <w:tcW w:w="4650" w:type="pct"/>
          </w:tcPr>
          <w:p w:rsidR="00631E41" w:rsidRDefault="006558FE">
            <w:pPr>
              <w:keepNext/>
              <w:keepLines/>
              <w:spacing w:after="0"/>
            </w:pPr>
            <w:r>
              <w:rPr>
                <w:rFonts w:ascii="Arial Unicode MS" w:eastAsia="Arial Unicode MS" w:hAnsi="Arial Unicode MS" w:cs="Arial Unicode MS"/>
                <w:color w:val="000000"/>
                <w:sz w:val="24"/>
              </w:rPr>
              <w:t xml:space="preserve">The following journal entry would be made in a processing costing system when units that have been completed in the final processing department are transferred to the finished goods warehouse: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extent cx="1741714" cy="283028"/>
                  <wp:effectExtent l="0" t="0" r="0" b="0"/>
                  <wp:docPr id="4" name="https://www.eztestonline.com/289126/12898519166770700.tp4?REQUEST=SHOWmedia&amp;media=04-01-01PRINT.png"/>
                  <wp:cNvGraphicFramePr/>
                  <a:graphic xmlns:a="http://schemas.openxmlformats.org/drawingml/2006/main">
                    <a:graphicData uri="http://schemas.openxmlformats.org/drawingml/2006/picture">
                      <pic:pic xmlns:pic="http://schemas.openxmlformats.org/drawingml/2006/picture">
                        <pic:nvPicPr>
                          <pic:cNvPr id="0" name="https://www.eztestonline.com/289126/12898519166770700.tp4?REQUEST=SHOWmedia&amp;media=04-01-01PRINT.png"/>
                          <pic:cNvPicPr/>
                        </pic:nvPicPr>
                        <pic:blipFill>
                          <a:blip r:embed="rId4"/>
                          <a:stretch/>
                        </pic:blipFill>
                        <pic:spPr>
                          <a:xfrm>
                            <a:off x="0" y="0"/>
                            <a:ext cx="1741714" cy="283028"/>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631E41" w:rsidRDefault="006558F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631E41">
        <w:tc>
          <w:tcPr>
            <w:tcW w:w="0" w:type="auto"/>
          </w:tcPr>
          <w:p w:rsidR="00631E41" w:rsidRDefault="006558F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Garrison - Chapter 004 #1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31E41" w:rsidRDefault="00631E4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631E41">
        <w:tc>
          <w:tcPr>
            <w:tcW w:w="350" w:type="pct"/>
          </w:tcPr>
          <w:p w:rsidR="00631E41" w:rsidRDefault="006558FE">
            <w:pPr>
              <w:keepNext/>
              <w:keepLines/>
              <w:spacing w:after="0"/>
            </w:pPr>
            <w:r>
              <w:rPr>
                <w:rFonts w:ascii="Arial Unicode MS" w:eastAsia="Arial Unicode MS" w:hAnsi="Arial Unicode MS" w:cs="Arial Unicode MS"/>
                <w:color w:val="000000"/>
                <w:sz w:val="24"/>
              </w:rPr>
              <w:t>5.</w:t>
            </w:r>
          </w:p>
        </w:tc>
        <w:tc>
          <w:tcPr>
            <w:tcW w:w="4650" w:type="pct"/>
          </w:tcPr>
          <w:p w:rsidR="00631E41" w:rsidRDefault="006558FE">
            <w:pPr>
              <w:keepNext/>
              <w:keepLines/>
              <w:spacing w:after="0"/>
            </w:pPr>
            <w:r>
              <w:rPr>
                <w:rFonts w:ascii="Arial Unicode MS" w:eastAsia="Arial Unicode MS" w:hAnsi="Arial Unicode MS" w:cs="Arial Unicode MS"/>
                <w:color w:val="000000"/>
                <w:sz w:val="24"/>
              </w:rPr>
              <w:t>In a process costing system, overhead is allocated to departments before being applied to units of product.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631E41" w:rsidRDefault="006558F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631E41">
        <w:tc>
          <w:tcPr>
            <w:tcW w:w="0" w:type="auto"/>
          </w:tcPr>
          <w:p w:rsidR="00631E41" w:rsidRDefault="006558F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Garrison - Chapter 004 #2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31E41" w:rsidRDefault="00631E41">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631E41">
        <w:tc>
          <w:tcPr>
            <w:tcW w:w="350" w:type="pct"/>
          </w:tcPr>
          <w:p w:rsidR="00631E41" w:rsidRDefault="006558FE">
            <w:pPr>
              <w:keepNext/>
              <w:keepLines/>
              <w:spacing w:after="0"/>
            </w:pPr>
            <w:r>
              <w:rPr>
                <w:rFonts w:ascii="Arial Unicode MS" w:eastAsia="Arial Unicode MS" w:hAnsi="Arial Unicode MS" w:cs="Arial Unicode MS"/>
                <w:color w:val="000000"/>
                <w:sz w:val="24"/>
              </w:rPr>
              <w:t>6.</w:t>
            </w:r>
          </w:p>
        </w:tc>
        <w:tc>
          <w:tcPr>
            <w:tcW w:w="4650" w:type="pct"/>
          </w:tcPr>
          <w:p w:rsidR="00631E41" w:rsidRDefault="006558FE">
            <w:pPr>
              <w:keepNext/>
              <w:keepLines/>
              <w:spacing w:after="0"/>
            </w:pPr>
            <w:r>
              <w:rPr>
                <w:rFonts w:ascii="Arial Unicode MS" w:eastAsia="Arial Unicode MS" w:hAnsi="Arial Unicode MS" w:cs="Arial Unicode MS"/>
                <w:color w:val="000000"/>
                <w:sz w:val="24"/>
              </w:rPr>
              <w:t>The "costs accounted for" portion of the cost reconciliation report includes the cost of ending work in process inventory and the cost of units transferred 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631E41" w:rsidRDefault="006558FE">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631E41">
        <w:tc>
          <w:tcPr>
            <w:tcW w:w="0" w:type="auto"/>
          </w:tcPr>
          <w:p w:rsidR="00631E41" w:rsidRDefault="006558FE">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Garrison - Chapter 004 #6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31E41" w:rsidRDefault="006558FE">
      <w:pPr>
        <w:spacing w:before="239" w:after="239"/>
        <w:sectPr w:rsidR="00631E41">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br/>
      </w:r>
    </w:p>
    <w:p w:rsidR="00631E41" w:rsidRDefault="006558FE">
      <w:pPr>
        <w:spacing w:before="532" w:after="0"/>
        <w:jc w:val="center"/>
      </w:pPr>
      <w:proofErr w:type="spellStart"/>
      <w:r>
        <w:rPr>
          <w:rFonts w:ascii="Arial Unicode MS" w:eastAsia="Arial Unicode MS" w:hAnsi="Arial Unicode MS" w:cs="Arial Unicode MS"/>
          <w:color w:val="000000"/>
          <w:sz w:val="40"/>
        </w:rPr>
        <w:lastRenderedPageBreak/>
        <w:t>ProcessCosting</w:t>
      </w:r>
      <w:proofErr w:type="spellEnd"/>
      <w:r>
        <w:rPr>
          <w:rFonts w:ascii="Arial Unicode MS" w:eastAsia="Arial Unicode MS" w:hAnsi="Arial Unicode MS" w:cs="Arial Unicode MS"/>
          <w:color w:val="000000"/>
          <w:sz w:val="40"/>
        </w:rPr>
        <w:t xml:space="preserve"> </w:t>
      </w:r>
      <w:r>
        <w:rPr>
          <w:rFonts w:ascii="Arial Unicode MS" w:eastAsia="Arial Unicode MS" w:hAnsi="Arial Unicode MS" w:cs="Arial Unicode MS"/>
          <w:color w:val="006000"/>
          <w:sz w:val="40"/>
        </w:rPr>
        <w:t>Summary</w:t>
      </w:r>
      <w:r>
        <w:rPr>
          <w:rFonts w:ascii="Times,Times New Roman,Times-Rom" w:eastAsia="Times,Times New Roman,Times-Rom" w:hAnsi="Times,Times New Roman,Times-Rom" w:cs="Times,Times New Roman,Times-Rom"/>
          <w:color w:val="000000"/>
          <w:sz w:val="40"/>
        </w:rPr>
        <w:br/>
      </w:r>
      <w:r>
        <w:rPr>
          <w:rFonts w:ascii="Arial Unicode MS" w:eastAsia="Arial Unicode MS" w:hAnsi="Arial Unicode MS" w:cs="Arial Unicode MS"/>
          <w:color w:val="000000"/>
          <w:sz w:val="40"/>
        </w:rP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firstRow="0" w:lastRow="0" w:firstColumn="0" w:lastColumn="0" w:noHBand="0" w:noVBand="0"/>
      </w:tblPr>
      <w:tblGrid>
        <w:gridCol w:w="4916"/>
        <w:gridCol w:w="1229"/>
      </w:tblGrid>
      <w:tr w:rsidR="00631E41">
        <w:trPr>
          <w:jc w:val="center"/>
        </w:trPr>
        <w:tc>
          <w:tcPr>
            <w:tcW w:w="0" w:type="auto"/>
          </w:tcPr>
          <w:p w:rsidR="00631E41" w:rsidRDefault="006558FE">
            <w:pPr>
              <w:spacing w:after="0"/>
              <w:jc w:val="center"/>
            </w:pPr>
            <w:r>
              <w:rPr>
                <w:rFonts w:ascii="Arial Unicode MS" w:eastAsia="Arial Unicode MS" w:hAnsi="Arial Unicode MS" w:cs="Arial Unicode MS"/>
                <w:i/>
                <w:color w:val="000000"/>
                <w:sz w:val="18"/>
                <w:u w:val="single"/>
              </w:rPr>
              <w:t>Category</w:t>
            </w:r>
          </w:p>
        </w:tc>
        <w:tc>
          <w:tcPr>
            <w:tcW w:w="0" w:type="auto"/>
          </w:tcPr>
          <w:p w:rsidR="00631E41" w:rsidRDefault="006558FE">
            <w:pPr>
              <w:spacing w:after="0"/>
              <w:jc w:val="center"/>
            </w:pPr>
            <w:r>
              <w:rPr>
                <w:rFonts w:ascii="Arial Unicode MS" w:eastAsia="Arial Unicode MS" w:hAnsi="Arial Unicode MS" w:cs="Arial Unicode MS"/>
                <w:i/>
                <w:color w:val="000000"/>
                <w:sz w:val="18"/>
                <w:u w:val="single"/>
              </w:rPr>
              <w:t># of Questions</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AACSB: Analytic</w:t>
            </w:r>
          </w:p>
        </w:tc>
        <w:tc>
          <w:tcPr>
            <w:tcW w:w="1000" w:type="pct"/>
          </w:tcPr>
          <w:p w:rsidR="00631E41" w:rsidRDefault="006558FE">
            <w:pPr>
              <w:spacing w:after="0"/>
              <w:jc w:val="center"/>
            </w:pPr>
            <w:r>
              <w:rPr>
                <w:rFonts w:ascii="Arial Unicode MS" w:eastAsia="Arial Unicode MS" w:hAnsi="Arial Unicode MS" w:cs="Arial Unicode MS"/>
                <w:color w:val="000000"/>
                <w:sz w:val="18"/>
              </w:rPr>
              <w:t>2</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AACSB: Reflective Thinking</w:t>
            </w:r>
          </w:p>
        </w:tc>
        <w:tc>
          <w:tcPr>
            <w:tcW w:w="1000" w:type="pct"/>
          </w:tcPr>
          <w:p w:rsidR="00631E41" w:rsidRDefault="006558FE">
            <w:pPr>
              <w:spacing w:after="0"/>
              <w:jc w:val="center"/>
            </w:pPr>
            <w:r>
              <w:rPr>
                <w:rFonts w:ascii="Arial Unicode MS" w:eastAsia="Arial Unicode MS" w:hAnsi="Arial Unicode MS" w:cs="Arial Unicode MS"/>
                <w:color w:val="000000"/>
                <w:sz w:val="18"/>
              </w:rPr>
              <w:t>4</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AICPA BB: Critical Thinking</w:t>
            </w:r>
          </w:p>
        </w:tc>
        <w:tc>
          <w:tcPr>
            <w:tcW w:w="1000" w:type="pct"/>
          </w:tcPr>
          <w:p w:rsidR="00631E41" w:rsidRDefault="006558FE">
            <w:pPr>
              <w:spacing w:after="0"/>
              <w:jc w:val="center"/>
            </w:pPr>
            <w:r>
              <w:rPr>
                <w:rFonts w:ascii="Arial Unicode MS" w:eastAsia="Arial Unicode MS" w:hAnsi="Arial Unicode MS" w:cs="Arial Unicode MS"/>
                <w:color w:val="000000"/>
                <w:sz w:val="18"/>
              </w:rPr>
              <w:t>5</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AICPA BB: Industry</w:t>
            </w:r>
          </w:p>
        </w:tc>
        <w:tc>
          <w:tcPr>
            <w:tcW w:w="1000" w:type="pct"/>
          </w:tcPr>
          <w:p w:rsidR="00631E41" w:rsidRDefault="006558FE">
            <w:pPr>
              <w:spacing w:after="0"/>
              <w:jc w:val="center"/>
            </w:pPr>
            <w:r>
              <w:rPr>
                <w:rFonts w:ascii="Arial Unicode MS" w:eastAsia="Arial Unicode MS" w:hAnsi="Arial Unicode MS" w:cs="Arial Unicode MS"/>
                <w:color w:val="000000"/>
                <w:sz w:val="18"/>
              </w:rPr>
              <w:t>1</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AICPA FN: Measurement</w:t>
            </w:r>
          </w:p>
        </w:tc>
        <w:tc>
          <w:tcPr>
            <w:tcW w:w="1000" w:type="pct"/>
          </w:tcPr>
          <w:p w:rsidR="00631E41" w:rsidRDefault="006558FE">
            <w:pPr>
              <w:spacing w:after="0"/>
              <w:jc w:val="center"/>
            </w:pPr>
            <w:r>
              <w:rPr>
                <w:rFonts w:ascii="Arial Unicode MS" w:eastAsia="Arial Unicode MS" w:hAnsi="Arial Unicode MS" w:cs="Arial Unicode MS"/>
                <w:color w:val="000000"/>
                <w:sz w:val="18"/>
              </w:rPr>
              <w:t>6</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Garrison - Chapter 004</w:t>
            </w:r>
          </w:p>
        </w:tc>
        <w:tc>
          <w:tcPr>
            <w:tcW w:w="1000" w:type="pct"/>
          </w:tcPr>
          <w:p w:rsidR="00631E41" w:rsidRDefault="006558FE">
            <w:pPr>
              <w:spacing w:after="0"/>
              <w:jc w:val="center"/>
            </w:pPr>
            <w:r>
              <w:rPr>
                <w:rFonts w:ascii="Arial Unicode MS" w:eastAsia="Arial Unicode MS" w:hAnsi="Arial Unicode MS" w:cs="Arial Unicode MS"/>
                <w:color w:val="000000"/>
                <w:sz w:val="18"/>
              </w:rPr>
              <w:t>6</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Learning Objective: 1</w:t>
            </w:r>
          </w:p>
        </w:tc>
        <w:tc>
          <w:tcPr>
            <w:tcW w:w="1000" w:type="pct"/>
          </w:tcPr>
          <w:p w:rsidR="00631E41" w:rsidRDefault="006558FE">
            <w:pPr>
              <w:spacing w:after="0"/>
              <w:jc w:val="center"/>
            </w:pPr>
            <w:r>
              <w:rPr>
                <w:rFonts w:ascii="Arial Unicode MS" w:eastAsia="Arial Unicode MS" w:hAnsi="Arial Unicode MS" w:cs="Arial Unicode MS"/>
                <w:color w:val="000000"/>
                <w:sz w:val="18"/>
              </w:rPr>
              <w:t>4</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Learning Objective: 2</w:t>
            </w:r>
          </w:p>
        </w:tc>
        <w:tc>
          <w:tcPr>
            <w:tcW w:w="1000" w:type="pct"/>
          </w:tcPr>
          <w:p w:rsidR="00631E41" w:rsidRDefault="006558FE">
            <w:pPr>
              <w:spacing w:after="0"/>
              <w:jc w:val="center"/>
            </w:pPr>
            <w:r>
              <w:rPr>
                <w:rFonts w:ascii="Arial Unicode MS" w:eastAsia="Arial Unicode MS" w:hAnsi="Arial Unicode MS" w:cs="Arial Unicode MS"/>
                <w:color w:val="000000"/>
                <w:sz w:val="18"/>
              </w:rPr>
              <w:t>1</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Learning Objective: 3</w:t>
            </w:r>
          </w:p>
        </w:tc>
        <w:tc>
          <w:tcPr>
            <w:tcW w:w="1000" w:type="pct"/>
          </w:tcPr>
          <w:p w:rsidR="00631E41" w:rsidRDefault="006558FE">
            <w:pPr>
              <w:spacing w:after="0"/>
              <w:jc w:val="center"/>
            </w:pPr>
            <w:r>
              <w:rPr>
                <w:rFonts w:ascii="Arial Unicode MS" w:eastAsia="Arial Unicode MS" w:hAnsi="Arial Unicode MS" w:cs="Arial Unicode MS"/>
                <w:color w:val="000000"/>
                <w:sz w:val="18"/>
              </w:rPr>
              <w:t>1</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Learning Objective: 5</w:t>
            </w:r>
          </w:p>
        </w:tc>
        <w:tc>
          <w:tcPr>
            <w:tcW w:w="1000" w:type="pct"/>
          </w:tcPr>
          <w:p w:rsidR="00631E41" w:rsidRDefault="006558FE">
            <w:pPr>
              <w:spacing w:after="0"/>
              <w:jc w:val="center"/>
            </w:pPr>
            <w:r>
              <w:rPr>
                <w:rFonts w:ascii="Arial Unicode MS" w:eastAsia="Arial Unicode MS" w:hAnsi="Arial Unicode MS" w:cs="Arial Unicode MS"/>
                <w:color w:val="000000"/>
                <w:sz w:val="18"/>
              </w:rPr>
              <w:t>1</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Level: Easy</w:t>
            </w:r>
          </w:p>
        </w:tc>
        <w:tc>
          <w:tcPr>
            <w:tcW w:w="1000" w:type="pct"/>
          </w:tcPr>
          <w:p w:rsidR="00631E41" w:rsidRDefault="006558FE">
            <w:pPr>
              <w:spacing w:after="0"/>
              <w:jc w:val="center"/>
            </w:pPr>
            <w:r>
              <w:rPr>
                <w:rFonts w:ascii="Arial Unicode MS" w:eastAsia="Arial Unicode MS" w:hAnsi="Arial Unicode MS" w:cs="Arial Unicode MS"/>
                <w:color w:val="000000"/>
                <w:sz w:val="18"/>
              </w:rPr>
              <w:t>4</w:t>
            </w:r>
          </w:p>
        </w:tc>
      </w:tr>
      <w:tr w:rsidR="00631E41">
        <w:trPr>
          <w:jc w:val="center"/>
        </w:trPr>
        <w:tc>
          <w:tcPr>
            <w:tcW w:w="4000" w:type="pct"/>
          </w:tcPr>
          <w:p w:rsidR="00631E41" w:rsidRDefault="006558FE">
            <w:pPr>
              <w:spacing w:after="0"/>
            </w:pPr>
            <w:r>
              <w:rPr>
                <w:rFonts w:ascii="Arial Unicode MS" w:eastAsia="Arial Unicode MS" w:hAnsi="Arial Unicode MS" w:cs="Arial Unicode MS"/>
                <w:color w:val="000000"/>
                <w:sz w:val="18"/>
              </w:rPr>
              <w:t>Level: Medium</w:t>
            </w:r>
          </w:p>
        </w:tc>
        <w:tc>
          <w:tcPr>
            <w:tcW w:w="1000" w:type="pct"/>
          </w:tcPr>
          <w:p w:rsidR="00631E41" w:rsidRDefault="006558FE">
            <w:pPr>
              <w:spacing w:after="0"/>
              <w:jc w:val="center"/>
            </w:pPr>
            <w:r>
              <w:rPr>
                <w:rFonts w:ascii="Arial Unicode MS" w:eastAsia="Arial Unicode MS" w:hAnsi="Arial Unicode MS" w:cs="Arial Unicode MS"/>
                <w:color w:val="000000"/>
                <w:sz w:val="18"/>
              </w:rPr>
              <w:t>2</w:t>
            </w:r>
          </w:p>
        </w:tc>
      </w:tr>
    </w:tbl>
    <w:p w:rsidR="006558FE" w:rsidRDefault="006558FE"/>
    <w:sectPr w:rsidR="006558F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41"/>
    <w:rsid w:val="00377F6C"/>
    <w:rsid w:val="00631E41"/>
    <w:rsid w:val="006558FE"/>
    <w:rsid w:val="00707173"/>
    <w:rsid w:val="0081540D"/>
    <w:rsid w:val="00E3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4BC65-9E45-472D-808D-D6381C5F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mullin</dc:creator>
  <cp:lastModifiedBy>Terry Mullin</cp:lastModifiedBy>
  <cp:revision>3</cp:revision>
  <dcterms:created xsi:type="dcterms:W3CDTF">2015-04-15T17:39:00Z</dcterms:created>
  <dcterms:modified xsi:type="dcterms:W3CDTF">2015-04-15T17:39:00Z</dcterms:modified>
</cp:coreProperties>
</file>