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2D" w:rsidRPr="00AC652D" w:rsidRDefault="00AC652D" w:rsidP="00AC652D">
      <w:pPr>
        <w:spacing w:before="100" w:beforeAutospacing="1" w:after="100" w:afterAutospacing="1" w:line="240" w:lineRule="auto"/>
        <w:outlineLvl w:val="0"/>
        <w:rPr>
          <w:rFonts w:ascii="Times New Roman" w:eastAsia="Times New Roman" w:hAnsi="Times New Roman" w:cs="Times New Roman"/>
          <w:b/>
          <w:bCs/>
          <w:kern w:val="36"/>
          <w:sz w:val="72"/>
          <w:szCs w:val="48"/>
          <w:lang w:val="en"/>
        </w:rPr>
      </w:pPr>
      <w:r w:rsidRPr="00AC652D">
        <w:rPr>
          <w:rFonts w:ascii="Times New Roman" w:eastAsia="Times New Roman" w:hAnsi="Times New Roman" w:cs="Times New Roman"/>
          <w:b/>
          <w:bCs/>
          <w:kern w:val="36"/>
          <w:sz w:val="72"/>
          <w:szCs w:val="48"/>
          <w:lang w:val="en"/>
        </w:rPr>
        <w:t>401(k)</w:t>
      </w:r>
    </w:p>
    <w:p w:rsidR="00AC652D" w:rsidRPr="00AC652D" w:rsidRDefault="00AC652D" w:rsidP="00AC652D">
      <w:pPr>
        <w:spacing w:after="0" w:line="240" w:lineRule="auto"/>
        <w:rPr>
          <w:rFonts w:ascii="Times New Roman" w:eastAsia="Times New Roman" w:hAnsi="Times New Roman" w:cs="Times New Roman"/>
          <w:sz w:val="36"/>
          <w:szCs w:val="24"/>
        </w:rPr>
      </w:pPr>
      <w:r w:rsidRPr="00AC652D">
        <w:rPr>
          <w:rFonts w:ascii="Times New Roman" w:eastAsia="Times New Roman" w:hAnsi="Times New Roman" w:cs="Times New Roman"/>
          <w:sz w:val="36"/>
          <w:szCs w:val="24"/>
        </w:rPr>
        <w:t>From Wikipedia, the free encyclopedia</w:t>
      </w:r>
    </w:p>
    <w:p w:rsidR="00AC652D" w:rsidRPr="00AC652D" w:rsidRDefault="00AC652D" w:rsidP="00AC652D">
      <w:pPr>
        <w:spacing w:before="100" w:beforeAutospacing="1" w:after="100" w:afterAutospacing="1" w:line="240" w:lineRule="auto"/>
        <w:rPr>
          <w:rFonts w:ascii="Times New Roman" w:eastAsia="Times New Roman" w:hAnsi="Times New Roman" w:cs="Times New Roman"/>
          <w:sz w:val="36"/>
          <w:szCs w:val="24"/>
          <w:lang w:val="en"/>
        </w:rPr>
      </w:pPr>
      <w:r w:rsidRPr="00AC652D">
        <w:rPr>
          <w:rFonts w:ascii="Times New Roman" w:eastAsia="Times New Roman" w:hAnsi="Times New Roman" w:cs="Times New Roman"/>
          <w:sz w:val="36"/>
          <w:szCs w:val="24"/>
          <w:lang w:val="en"/>
        </w:rPr>
        <w:t xml:space="preserve">In the </w:t>
      </w:r>
      <w:hyperlink r:id="rId5" w:tooltip="United States" w:history="1">
        <w:r w:rsidRPr="00AC652D">
          <w:rPr>
            <w:rFonts w:ascii="Times New Roman" w:eastAsia="Times New Roman" w:hAnsi="Times New Roman" w:cs="Times New Roman"/>
            <w:color w:val="0000FF"/>
            <w:sz w:val="36"/>
            <w:szCs w:val="24"/>
            <w:u w:val="single"/>
            <w:lang w:val="en"/>
          </w:rPr>
          <w:t>United States</w:t>
        </w:r>
      </w:hyperlink>
      <w:r w:rsidRPr="00AC652D">
        <w:rPr>
          <w:rFonts w:ascii="Times New Roman" w:eastAsia="Times New Roman" w:hAnsi="Times New Roman" w:cs="Times New Roman"/>
          <w:sz w:val="36"/>
          <w:szCs w:val="24"/>
          <w:lang w:val="en"/>
        </w:rPr>
        <w:t xml:space="preserve">, a </w:t>
      </w:r>
      <w:r w:rsidRPr="00AC652D">
        <w:rPr>
          <w:rFonts w:ascii="Times New Roman" w:eastAsia="Times New Roman" w:hAnsi="Times New Roman" w:cs="Times New Roman"/>
          <w:b/>
          <w:bCs/>
          <w:sz w:val="36"/>
          <w:szCs w:val="24"/>
          <w:lang w:val="en"/>
        </w:rPr>
        <w:t>401(k)</w:t>
      </w:r>
      <w:r w:rsidRPr="00AC652D">
        <w:rPr>
          <w:rFonts w:ascii="Times New Roman" w:eastAsia="Times New Roman" w:hAnsi="Times New Roman" w:cs="Times New Roman"/>
          <w:sz w:val="36"/>
          <w:szCs w:val="24"/>
          <w:lang w:val="en"/>
        </w:rPr>
        <w:t xml:space="preserve"> plan is the tax-qualified, </w:t>
      </w:r>
      <w:hyperlink r:id="rId6" w:tooltip="Defined contribution" w:history="1">
        <w:r w:rsidRPr="00AC652D">
          <w:rPr>
            <w:rFonts w:ascii="Times New Roman" w:eastAsia="Times New Roman" w:hAnsi="Times New Roman" w:cs="Times New Roman"/>
            <w:color w:val="0000FF"/>
            <w:sz w:val="36"/>
            <w:szCs w:val="24"/>
            <w:highlight w:val="yellow"/>
            <w:u w:val="single"/>
            <w:lang w:val="en"/>
          </w:rPr>
          <w:t>defined-contribution</w:t>
        </w:r>
      </w:hyperlink>
      <w:r w:rsidRPr="00AC652D">
        <w:rPr>
          <w:rFonts w:ascii="Times New Roman" w:eastAsia="Times New Roman" w:hAnsi="Times New Roman" w:cs="Times New Roman"/>
          <w:sz w:val="36"/>
          <w:szCs w:val="24"/>
          <w:highlight w:val="yellow"/>
          <w:lang w:val="en"/>
        </w:rPr>
        <w:t xml:space="preserve"> </w:t>
      </w:r>
      <w:hyperlink r:id="rId7" w:tooltip="Pension" w:history="1">
        <w:r w:rsidRPr="00AC652D">
          <w:rPr>
            <w:rFonts w:ascii="Times New Roman" w:eastAsia="Times New Roman" w:hAnsi="Times New Roman" w:cs="Times New Roman"/>
            <w:color w:val="0000FF"/>
            <w:sz w:val="36"/>
            <w:szCs w:val="24"/>
            <w:highlight w:val="yellow"/>
            <w:u w:val="single"/>
            <w:lang w:val="en"/>
          </w:rPr>
          <w:t>pension</w:t>
        </w:r>
      </w:hyperlink>
      <w:r w:rsidRPr="00AC652D">
        <w:rPr>
          <w:rFonts w:ascii="Times New Roman" w:eastAsia="Times New Roman" w:hAnsi="Times New Roman" w:cs="Times New Roman"/>
          <w:sz w:val="36"/>
          <w:szCs w:val="24"/>
          <w:lang w:val="en"/>
        </w:rPr>
        <w:t xml:space="preserve"> account defined in subsection 401(k) of the </w:t>
      </w:r>
      <w:hyperlink r:id="rId8" w:tooltip="Internal Revenue Code" w:history="1">
        <w:r w:rsidRPr="00AC652D">
          <w:rPr>
            <w:rFonts w:ascii="Times New Roman" w:eastAsia="Times New Roman" w:hAnsi="Times New Roman" w:cs="Times New Roman"/>
            <w:color w:val="0000FF"/>
            <w:sz w:val="36"/>
            <w:szCs w:val="24"/>
            <w:u w:val="single"/>
            <w:lang w:val="en"/>
          </w:rPr>
          <w:t>Internal Revenue Code</w:t>
        </w:r>
      </w:hyperlink>
      <w:r w:rsidRPr="00AC652D">
        <w:rPr>
          <w:rFonts w:ascii="Times New Roman" w:eastAsia="Times New Roman" w:hAnsi="Times New Roman" w:cs="Times New Roman"/>
          <w:sz w:val="36"/>
          <w:szCs w:val="24"/>
          <w:lang w:val="en"/>
        </w:rPr>
        <w:t>.</w:t>
      </w:r>
      <w:hyperlink r:id="rId9" w:anchor="cite_note-cornell-1" w:history="1">
        <w:r w:rsidRPr="00AC652D">
          <w:rPr>
            <w:rFonts w:ascii="Times New Roman" w:eastAsia="Times New Roman" w:hAnsi="Times New Roman" w:cs="Times New Roman"/>
            <w:color w:val="0000FF"/>
            <w:sz w:val="36"/>
            <w:szCs w:val="24"/>
            <w:u w:val="single"/>
            <w:vertAlign w:val="superscript"/>
            <w:lang w:val="en"/>
          </w:rPr>
          <w:t>[1]</w:t>
        </w:r>
      </w:hyperlink>
      <w:r w:rsidRPr="00AC652D">
        <w:rPr>
          <w:rFonts w:ascii="Times New Roman" w:eastAsia="Times New Roman" w:hAnsi="Times New Roman" w:cs="Times New Roman"/>
          <w:sz w:val="36"/>
          <w:szCs w:val="24"/>
          <w:lang w:val="en"/>
        </w:rPr>
        <w:t xml:space="preserve"> Under the plan, retirement savings contributions are provided (and sometimes proportionately matched) by an employer, deducted from the employee's paycheck </w:t>
      </w:r>
      <w:r w:rsidRPr="00AC652D">
        <w:rPr>
          <w:rFonts w:ascii="Times New Roman" w:eastAsia="Times New Roman" w:hAnsi="Times New Roman" w:cs="Times New Roman"/>
          <w:sz w:val="36"/>
          <w:szCs w:val="24"/>
          <w:highlight w:val="yellow"/>
          <w:lang w:val="en"/>
        </w:rPr>
        <w:t>before taxation</w:t>
      </w:r>
      <w:r w:rsidRPr="00AC652D">
        <w:rPr>
          <w:rFonts w:ascii="Times New Roman" w:eastAsia="Times New Roman" w:hAnsi="Times New Roman" w:cs="Times New Roman"/>
          <w:sz w:val="36"/>
          <w:szCs w:val="24"/>
          <w:lang w:val="en"/>
        </w:rPr>
        <w:t xml:space="preserve"> (therefore </w:t>
      </w:r>
      <w:hyperlink r:id="rId10" w:tooltip="Tax deferral" w:history="1">
        <w:r w:rsidRPr="00AC652D">
          <w:rPr>
            <w:rFonts w:ascii="Times New Roman" w:eastAsia="Times New Roman" w:hAnsi="Times New Roman" w:cs="Times New Roman"/>
            <w:color w:val="0000FF"/>
            <w:sz w:val="36"/>
            <w:szCs w:val="24"/>
            <w:u w:val="single"/>
            <w:lang w:val="en"/>
          </w:rPr>
          <w:t>tax-deferred</w:t>
        </w:r>
      </w:hyperlink>
      <w:r w:rsidRPr="00AC652D">
        <w:rPr>
          <w:rFonts w:ascii="Times New Roman" w:eastAsia="Times New Roman" w:hAnsi="Times New Roman" w:cs="Times New Roman"/>
          <w:sz w:val="36"/>
          <w:szCs w:val="24"/>
          <w:lang w:val="en"/>
        </w:rPr>
        <w:t xml:space="preserve"> until withdrawn after retirement or as otherwise permitted by applicable law), and limited to a </w:t>
      </w:r>
      <w:r w:rsidRPr="00AC652D">
        <w:rPr>
          <w:rFonts w:ascii="Times New Roman" w:eastAsia="Times New Roman" w:hAnsi="Times New Roman" w:cs="Times New Roman"/>
          <w:sz w:val="36"/>
          <w:szCs w:val="24"/>
          <w:highlight w:val="yellow"/>
          <w:lang w:val="en"/>
        </w:rPr>
        <w:t>maximum pre-tax annual contribution of $18,000</w:t>
      </w:r>
      <w:r w:rsidRPr="00AC652D">
        <w:rPr>
          <w:rFonts w:ascii="Times New Roman" w:eastAsia="Times New Roman" w:hAnsi="Times New Roman" w:cs="Times New Roman"/>
          <w:sz w:val="36"/>
          <w:szCs w:val="24"/>
          <w:lang w:val="en"/>
        </w:rPr>
        <w:t xml:space="preserve"> (as of 2015).</w:t>
      </w:r>
      <w:hyperlink r:id="rId11" w:anchor="cite_note-2" w:history="1">
        <w:r w:rsidRPr="00AC652D">
          <w:rPr>
            <w:rFonts w:ascii="Times New Roman" w:eastAsia="Times New Roman" w:hAnsi="Times New Roman" w:cs="Times New Roman"/>
            <w:color w:val="0000FF"/>
            <w:sz w:val="36"/>
            <w:szCs w:val="24"/>
            <w:u w:val="single"/>
            <w:vertAlign w:val="superscript"/>
            <w:lang w:val="en"/>
          </w:rPr>
          <w:t>[2</w:t>
        </w:r>
        <w:proofErr w:type="gramStart"/>
        <w:r w:rsidRPr="00AC652D">
          <w:rPr>
            <w:rFonts w:ascii="Times New Roman" w:eastAsia="Times New Roman" w:hAnsi="Times New Roman" w:cs="Times New Roman"/>
            <w:color w:val="0000FF"/>
            <w:sz w:val="36"/>
            <w:szCs w:val="24"/>
            <w:u w:val="single"/>
            <w:vertAlign w:val="superscript"/>
            <w:lang w:val="en"/>
          </w:rPr>
          <w:t>]</w:t>
        </w:r>
        <w:proofErr w:type="gramEnd"/>
      </w:hyperlink>
      <w:hyperlink r:id="rId12" w:anchor="cite_note-3" w:history="1">
        <w:r w:rsidRPr="00AC652D">
          <w:rPr>
            <w:rFonts w:ascii="Times New Roman" w:eastAsia="Times New Roman" w:hAnsi="Times New Roman" w:cs="Times New Roman"/>
            <w:color w:val="0000FF"/>
            <w:sz w:val="36"/>
            <w:szCs w:val="24"/>
            <w:u w:val="single"/>
            <w:vertAlign w:val="superscript"/>
            <w:lang w:val="en"/>
          </w:rPr>
          <w:t>[3]</w:t>
        </w:r>
      </w:hyperlink>
    </w:p>
    <w:p w:rsidR="00AC652D" w:rsidRDefault="00AC652D" w:rsidP="00AC652D">
      <w:pPr>
        <w:spacing w:before="100" w:beforeAutospacing="1" w:after="100" w:afterAutospacing="1" w:line="240" w:lineRule="auto"/>
        <w:rPr>
          <w:rFonts w:ascii="Times New Roman" w:eastAsia="Times New Roman" w:hAnsi="Times New Roman" w:cs="Times New Roman"/>
          <w:sz w:val="36"/>
          <w:szCs w:val="24"/>
          <w:lang w:val="en"/>
        </w:rPr>
      </w:pPr>
      <w:r w:rsidRPr="00AC652D">
        <w:rPr>
          <w:rFonts w:ascii="Times New Roman" w:eastAsia="Times New Roman" w:hAnsi="Times New Roman" w:cs="Times New Roman"/>
          <w:sz w:val="36"/>
          <w:szCs w:val="24"/>
          <w:lang w:val="en"/>
        </w:rPr>
        <w:t xml:space="preserve">Other employer-provided defined-contribution plans include </w:t>
      </w:r>
      <w:hyperlink r:id="rId13" w:tooltip="403(b)" w:history="1">
        <w:r w:rsidRPr="00AC652D">
          <w:rPr>
            <w:rFonts w:ascii="Times New Roman" w:eastAsia="Times New Roman" w:hAnsi="Times New Roman" w:cs="Times New Roman"/>
            <w:color w:val="0000FF"/>
            <w:sz w:val="36"/>
            <w:szCs w:val="24"/>
            <w:highlight w:val="yellow"/>
            <w:u w:val="single"/>
            <w:lang w:val="en"/>
          </w:rPr>
          <w:t>403(b)</w:t>
        </w:r>
      </w:hyperlink>
      <w:r w:rsidRPr="00AC652D">
        <w:rPr>
          <w:rFonts w:ascii="Times New Roman" w:eastAsia="Times New Roman" w:hAnsi="Times New Roman" w:cs="Times New Roman"/>
          <w:sz w:val="36"/>
          <w:szCs w:val="24"/>
          <w:highlight w:val="yellow"/>
          <w:lang w:val="en"/>
        </w:rPr>
        <w:t xml:space="preserve"> plans, for nonprofit institutions, and </w:t>
      </w:r>
      <w:hyperlink r:id="rId14" w:anchor="457.28b.29_.28eligible.29_plans" w:tooltip="457 plan" w:history="1">
        <w:r w:rsidRPr="00AC652D">
          <w:rPr>
            <w:rFonts w:ascii="Times New Roman" w:eastAsia="Times New Roman" w:hAnsi="Times New Roman" w:cs="Times New Roman"/>
            <w:color w:val="0000FF"/>
            <w:sz w:val="36"/>
            <w:szCs w:val="24"/>
            <w:highlight w:val="yellow"/>
            <w:u w:val="single"/>
            <w:lang w:val="en"/>
          </w:rPr>
          <w:t>457(b)</w:t>
        </w:r>
      </w:hyperlink>
      <w:r w:rsidRPr="00AC652D">
        <w:rPr>
          <w:rFonts w:ascii="Times New Roman" w:eastAsia="Times New Roman" w:hAnsi="Times New Roman" w:cs="Times New Roman"/>
          <w:sz w:val="36"/>
          <w:szCs w:val="24"/>
          <w:highlight w:val="yellow"/>
          <w:lang w:val="en"/>
        </w:rPr>
        <w:t xml:space="preserve"> plans for governmental employers.</w:t>
      </w:r>
      <w:r w:rsidRPr="00AC652D">
        <w:rPr>
          <w:rFonts w:ascii="Times New Roman" w:eastAsia="Times New Roman" w:hAnsi="Times New Roman" w:cs="Times New Roman"/>
          <w:sz w:val="36"/>
          <w:szCs w:val="24"/>
          <w:lang w:val="en"/>
        </w:rPr>
        <w:t xml:space="preserve"> These plans are all established under section </w:t>
      </w:r>
      <w:hyperlink r:id="rId15" w:tooltip="401(a)" w:history="1">
        <w:r w:rsidRPr="00AC652D">
          <w:rPr>
            <w:rFonts w:ascii="Times New Roman" w:eastAsia="Times New Roman" w:hAnsi="Times New Roman" w:cs="Times New Roman"/>
            <w:color w:val="0000FF"/>
            <w:sz w:val="36"/>
            <w:szCs w:val="24"/>
            <w:u w:val="single"/>
            <w:lang w:val="en"/>
          </w:rPr>
          <w:t>401(a)</w:t>
        </w:r>
      </w:hyperlink>
      <w:r w:rsidRPr="00AC652D">
        <w:rPr>
          <w:rFonts w:ascii="Times New Roman" w:eastAsia="Times New Roman" w:hAnsi="Times New Roman" w:cs="Times New Roman"/>
          <w:sz w:val="36"/>
          <w:szCs w:val="24"/>
          <w:lang w:val="en"/>
        </w:rPr>
        <w:t xml:space="preserve"> of the Internal Revenue Code. 401(a) plans may provide total annual addition of $53,000 (as of 2015) per plan participant, including both employee and employer contributions.</w:t>
      </w:r>
      <w:r>
        <w:rPr>
          <w:rFonts w:ascii="Times New Roman" w:eastAsia="Times New Roman" w:hAnsi="Times New Roman" w:cs="Times New Roman"/>
          <w:sz w:val="36"/>
          <w:szCs w:val="24"/>
          <w:lang w:val="en"/>
        </w:rPr>
        <w:t xml:space="preserve"> </w:t>
      </w:r>
      <w:r w:rsidRPr="00AC652D">
        <w:rPr>
          <w:rFonts w:ascii="Times New Roman" w:eastAsia="Times New Roman" w:hAnsi="Times New Roman" w:cs="Times New Roman"/>
          <w:sz w:val="36"/>
          <w:szCs w:val="24"/>
          <w:highlight w:val="yellow"/>
          <w:lang w:val="en"/>
        </w:rPr>
        <w:t>401(k) plans, named for the section of the tax code that governs them, arose during the 1980s as a supplement to pensions</w:t>
      </w:r>
      <w:r>
        <w:rPr>
          <w:rFonts w:ascii="Times New Roman" w:eastAsia="Times New Roman" w:hAnsi="Times New Roman" w:cs="Times New Roman"/>
          <w:sz w:val="36"/>
          <w:szCs w:val="24"/>
          <w:lang w:val="en"/>
        </w:rPr>
        <w:t>.</w:t>
      </w:r>
    </w:p>
    <w:p w:rsidR="00AC652D" w:rsidRDefault="00AC652D" w:rsidP="00AC652D">
      <w:pPr>
        <w:spacing w:before="100" w:beforeAutospacing="1" w:after="100" w:afterAutospacing="1" w:line="240" w:lineRule="auto"/>
        <w:rPr>
          <w:rFonts w:ascii="Times New Roman" w:eastAsia="Times New Roman" w:hAnsi="Times New Roman" w:cs="Times New Roman"/>
          <w:sz w:val="36"/>
          <w:szCs w:val="24"/>
          <w:lang w:val="en"/>
        </w:rPr>
      </w:pPr>
      <w:r w:rsidRPr="00AC652D">
        <w:rPr>
          <w:rFonts w:ascii="Times New Roman" w:eastAsia="Times New Roman" w:hAnsi="Times New Roman" w:cs="Times New Roman"/>
          <w:sz w:val="36"/>
          <w:szCs w:val="24"/>
          <w:highlight w:val="green"/>
          <w:lang w:val="en"/>
        </w:rPr>
        <w:t>With a 401(k), you control how your money is invested. Most plans offer a spread of mutual funds composed of stocks, bonds, and money market investments. The most popular option tends to be target-date funds, a combination of stocks and bonds that gradually become more conservative as you reach retirement</w:t>
      </w:r>
      <w:r>
        <w:rPr>
          <w:rFonts w:ascii="Times New Roman" w:eastAsia="Times New Roman" w:hAnsi="Times New Roman" w:cs="Times New Roman"/>
          <w:sz w:val="36"/>
          <w:szCs w:val="24"/>
          <w:lang w:val="en"/>
        </w:rPr>
        <w:t xml:space="preserve">. </w:t>
      </w:r>
    </w:p>
    <w:p w:rsidR="00AC652D" w:rsidRDefault="00AC652D" w:rsidP="00AC652D">
      <w:pPr>
        <w:spacing w:before="100" w:beforeAutospacing="1" w:after="100" w:afterAutospacing="1" w:line="240" w:lineRule="auto"/>
        <w:rPr>
          <w:rFonts w:ascii="Times New Roman" w:eastAsia="Times New Roman" w:hAnsi="Times New Roman" w:cs="Times New Roman"/>
          <w:sz w:val="36"/>
          <w:szCs w:val="24"/>
          <w:lang w:val="en"/>
        </w:rPr>
      </w:pPr>
      <w:r w:rsidRPr="00AC652D">
        <w:rPr>
          <w:rFonts w:ascii="Times New Roman" w:eastAsia="Times New Roman" w:hAnsi="Times New Roman" w:cs="Times New Roman"/>
          <w:sz w:val="36"/>
          <w:szCs w:val="24"/>
          <w:highlight w:val="green"/>
          <w:lang w:val="en"/>
        </w:rPr>
        <w:t xml:space="preserve">Vesting is the amount of time you must work for your company before gaining access to its payments to your 401(k). (Your </w:t>
      </w:r>
      <w:r w:rsidRPr="00AC652D">
        <w:rPr>
          <w:rFonts w:ascii="Times New Roman" w:eastAsia="Times New Roman" w:hAnsi="Times New Roman" w:cs="Times New Roman"/>
          <w:sz w:val="36"/>
          <w:szCs w:val="24"/>
          <w:highlight w:val="green"/>
          <w:lang w:val="en"/>
        </w:rPr>
        <w:lastRenderedPageBreak/>
        <w:t>payments, on the other hand, vest immediately.) It’s an insurance against employees leaving early. On top of that, there are complex rules about when you can withdraw your money and costly penalties for pulling funds out before retirement age.</w:t>
      </w:r>
    </w:p>
    <w:p w:rsidR="00AC652D" w:rsidRDefault="00AC652D" w:rsidP="00AC652D">
      <w:pPr>
        <w:spacing w:before="100" w:beforeAutospacing="1" w:after="100" w:afterAutospacing="1" w:line="240" w:lineRule="auto"/>
        <w:rPr>
          <w:rFonts w:ascii="Times New Roman" w:eastAsia="Times New Roman" w:hAnsi="Times New Roman" w:cs="Times New Roman"/>
          <w:sz w:val="36"/>
          <w:szCs w:val="24"/>
          <w:highlight w:val="green"/>
          <w:lang w:val="en"/>
        </w:rPr>
      </w:pPr>
      <w:r w:rsidRPr="00AC652D">
        <w:rPr>
          <w:rFonts w:ascii="Times New Roman" w:eastAsia="Times New Roman" w:hAnsi="Times New Roman" w:cs="Times New Roman"/>
          <w:sz w:val="36"/>
          <w:szCs w:val="24"/>
          <w:highlight w:val="green"/>
          <w:lang w:val="en"/>
        </w:rPr>
        <w:t>With that settled, how much should you put in? As much as possible, being mindful that you’ll need to have enough money to live, eat and pay down any debt you have. At the very least, invest enough to get the full matching amount that your company pays to match your contributions.</w:t>
      </w:r>
    </w:p>
    <w:tbl>
      <w:tblPr>
        <w:tblW w:w="9292" w:type="dxa"/>
        <w:tblCellSpacing w:w="7" w:type="dxa"/>
        <w:tblInd w:w="15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86"/>
        <w:gridCol w:w="3953"/>
        <w:gridCol w:w="3953"/>
      </w:tblGrid>
      <w:tr w:rsidR="00AC652D" w:rsidRPr="00AC652D" w:rsidTr="00AC652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C652D" w:rsidRPr="00AC652D" w:rsidRDefault="00AC652D" w:rsidP="00AC652D">
            <w:pPr>
              <w:spacing w:before="150" w:after="150" w:line="240" w:lineRule="auto"/>
              <w:rPr>
                <w:rFonts w:ascii="Times New Roman" w:eastAsia="Times New Roman" w:hAnsi="Times New Roman" w:cs="Times New Roman"/>
                <w:sz w:val="28"/>
                <w:szCs w:val="24"/>
              </w:rPr>
            </w:pPr>
            <w:r w:rsidRPr="00AC652D">
              <w:rPr>
                <w:rFonts w:ascii="Times New Roman" w:eastAsia="Times New Roman" w:hAnsi="Times New Roman" w:cs="Times New Roman"/>
                <w:b/>
                <w:bCs/>
                <w:sz w:val="28"/>
                <w:szCs w:val="24"/>
              </w:rPr>
              <w:t xml:space="preserve">401k type </w:t>
            </w:r>
          </w:p>
        </w:tc>
        <w:tc>
          <w:tcPr>
            <w:tcW w:w="3939" w:type="dxa"/>
            <w:tcBorders>
              <w:top w:val="outset" w:sz="6" w:space="0" w:color="auto"/>
              <w:left w:val="outset" w:sz="6" w:space="0" w:color="auto"/>
              <w:bottom w:val="outset" w:sz="6" w:space="0" w:color="auto"/>
              <w:right w:val="outset" w:sz="6" w:space="0" w:color="auto"/>
            </w:tcBorders>
            <w:hideMark/>
          </w:tcPr>
          <w:p w:rsidR="00AC652D" w:rsidRPr="00AC652D" w:rsidRDefault="00AC652D" w:rsidP="00AC652D">
            <w:pPr>
              <w:spacing w:before="150" w:after="150" w:line="240" w:lineRule="auto"/>
              <w:jc w:val="center"/>
              <w:rPr>
                <w:rFonts w:ascii="Times New Roman" w:eastAsia="Times New Roman" w:hAnsi="Times New Roman" w:cs="Times New Roman"/>
                <w:sz w:val="28"/>
                <w:szCs w:val="24"/>
              </w:rPr>
            </w:pPr>
            <w:r w:rsidRPr="00AC652D">
              <w:rPr>
                <w:rFonts w:ascii="Times New Roman" w:eastAsia="Times New Roman" w:hAnsi="Times New Roman" w:cs="Times New Roman"/>
                <w:b/>
                <w:bCs/>
                <w:sz w:val="28"/>
                <w:szCs w:val="24"/>
              </w:rPr>
              <w:t xml:space="preserve">Tax rules </w:t>
            </w:r>
          </w:p>
        </w:tc>
        <w:tc>
          <w:tcPr>
            <w:tcW w:w="3932" w:type="dxa"/>
            <w:tcBorders>
              <w:top w:val="outset" w:sz="6" w:space="0" w:color="auto"/>
              <w:left w:val="outset" w:sz="6" w:space="0" w:color="auto"/>
              <w:bottom w:val="outset" w:sz="6" w:space="0" w:color="auto"/>
              <w:right w:val="outset" w:sz="6" w:space="0" w:color="auto"/>
            </w:tcBorders>
            <w:hideMark/>
          </w:tcPr>
          <w:p w:rsidR="00AC652D" w:rsidRPr="00AC652D" w:rsidRDefault="00AC652D" w:rsidP="00AC652D">
            <w:pPr>
              <w:spacing w:before="150" w:after="150" w:line="240" w:lineRule="auto"/>
              <w:jc w:val="center"/>
              <w:rPr>
                <w:rFonts w:ascii="Times New Roman" w:eastAsia="Times New Roman" w:hAnsi="Times New Roman" w:cs="Times New Roman"/>
                <w:sz w:val="28"/>
                <w:szCs w:val="24"/>
              </w:rPr>
            </w:pPr>
            <w:r w:rsidRPr="00AC652D">
              <w:rPr>
                <w:rFonts w:ascii="Times New Roman" w:eastAsia="Times New Roman" w:hAnsi="Times New Roman" w:cs="Times New Roman"/>
                <w:b/>
                <w:bCs/>
                <w:sz w:val="28"/>
                <w:szCs w:val="24"/>
              </w:rPr>
              <w:t xml:space="preserve">Withdrawal rules </w:t>
            </w:r>
          </w:p>
        </w:tc>
      </w:tr>
      <w:tr w:rsidR="00AC652D" w:rsidRPr="00AC652D" w:rsidTr="00AC652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C652D" w:rsidRPr="00AC652D" w:rsidRDefault="00AC652D" w:rsidP="00AC652D">
            <w:pPr>
              <w:spacing w:before="150" w:after="150" w:line="240" w:lineRule="auto"/>
              <w:rPr>
                <w:rFonts w:ascii="Times New Roman" w:eastAsia="Times New Roman" w:hAnsi="Times New Roman" w:cs="Times New Roman"/>
                <w:sz w:val="28"/>
                <w:szCs w:val="24"/>
              </w:rPr>
            </w:pPr>
            <w:r w:rsidRPr="00AC652D">
              <w:rPr>
                <w:rFonts w:ascii="Times New Roman" w:eastAsia="Times New Roman" w:hAnsi="Times New Roman" w:cs="Times New Roman"/>
                <w:sz w:val="28"/>
                <w:szCs w:val="24"/>
              </w:rPr>
              <w:t>Traditional</w:t>
            </w:r>
          </w:p>
        </w:tc>
        <w:tc>
          <w:tcPr>
            <w:tcW w:w="3939" w:type="dxa"/>
            <w:tcBorders>
              <w:top w:val="outset" w:sz="6" w:space="0" w:color="auto"/>
              <w:left w:val="outset" w:sz="6" w:space="0" w:color="auto"/>
              <w:bottom w:val="outset" w:sz="6" w:space="0" w:color="auto"/>
              <w:right w:val="outset" w:sz="6" w:space="0" w:color="auto"/>
            </w:tcBorders>
            <w:hideMark/>
          </w:tcPr>
          <w:p w:rsidR="00AC652D" w:rsidRPr="00AC652D" w:rsidRDefault="00AC652D" w:rsidP="00AC652D">
            <w:pPr>
              <w:numPr>
                <w:ilvl w:val="0"/>
                <w:numId w:val="1"/>
              </w:numPr>
              <w:spacing w:before="100" w:beforeAutospacing="1" w:after="100" w:afterAutospacing="1" w:line="240" w:lineRule="auto"/>
              <w:rPr>
                <w:rFonts w:ascii="Times New Roman" w:eastAsia="Times New Roman" w:hAnsi="Times New Roman" w:cs="Times New Roman"/>
                <w:sz w:val="28"/>
                <w:szCs w:val="24"/>
              </w:rPr>
            </w:pPr>
            <w:r w:rsidRPr="00AC652D">
              <w:rPr>
                <w:rFonts w:ascii="Times New Roman" w:eastAsia="Times New Roman" w:hAnsi="Times New Roman" w:cs="Times New Roman"/>
                <w:sz w:val="28"/>
                <w:szCs w:val="24"/>
              </w:rPr>
              <w:t>Wages are contributed before taxes from each paycheck, like a deferred salary.</w:t>
            </w:r>
          </w:p>
          <w:p w:rsidR="00AC652D" w:rsidRPr="00AC652D" w:rsidRDefault="00AC652D" w:rsidP="00AC652D">
            <w:pPr>
              <w:numPr>
                <w:ilvl w:val="0"/>
                <w:numId w:val="2"/>
              </w:numPr>
              <w:spacing w:before="100" w:beforeAutospacing="1" w:after="100" w:afterAutospacing="1" w:line="240" w:lineRule="auto"/>
              <w:rPr>
                <w:rFonts w:ascii="Times New Roman" w:eastAsia="Times New Roman" w:hAnsi="Times New Roman" w:cs="Times New Roman"/>
                <w:sz w:val="28"/>
                <w:szCs w:val="24"/>
              </w:rPr>
            </w:pPr>
            <w:r w:rsidRPr="00AC652D">
              <w:rPr>
                <w:rFonts w:ascii="Times New Roman" w:eastAsia="Times New Roman" w:hAnsi="Times New Roman" w:cs="Times New Roman"/>
                <w:sz w:val="28"/>
                <w:szCs w:val="24"/>
              </w:rPr>
              <w:t>Taxable income drops by the amount you contribute.</w:t>
            </w:r>
          </w:p>
          <w:p w:rsidR="00AC652D" w:rsidRPr="00AC652D" w:rsidRDefault="00AC652D" w:rsidP="00AC652D">
            <w:pPr>
              <w:numPr>
                <w:ilvl w:val="0"/>
                <w:numId w:val="3"/>
              </w:numPr>
              <w:spacing w:before="100" w:beforeAutospacing="1" w:after="100" w:afterAutospacing="1" w:line="240" w:lineRule="auto"/>
              <w:rPr>
                <w:rFonts w:ascii="Times New Roman" w:eastAsia="Times New Roman" w:hAnsi="Times New Roman" w:cs="Times New Roman"/>
                <w:sz w:val="28"/>
                <w:szCs w:val="24"/>
              </w:rPr>
            </w:pPr>
            <w:r w:rsidRPr="00AC652D">
              <w:rPr>
                <w:rFonts w:ascii="Times New Roman" w:eastAsia="Times New Roman" w:hAnsi="Times New Roman" w:cs="Times New Roman"/>
                <w:sz w:val="28"/>
                <w:szCs w:val="24"/>
              </w:rPr>
              <w:t>You pay income taxes on contributions and earnings upon withdrawal.</w:t>
            </w:r>
          </w:p>
        </w:tc>
        <w:tc>
          <w:tcPr>
            <w:tcW w:w="3932" w:type="dxa"/>
            <w:tcBorders>
              <w:top w:val="outset" w:sz="6" w:space="0" w:color="auto"/>
              <w:left w:val="outset" w:sz="6" w:space="0" w:color="auto"/>
              <w:bottom w:val="outset" w:sz="6" w:space="0" w:color="auto"/>
              <w:right w:val="outset" w:sz="6" w:space="0" w:color="auto"/>
            </w:tcBorders>
            <w:hideMark/>
          </w:tcPr>
          <w:p w:rsidR="00AC652D" w:rsidRPr="00AC652D" w:rsidRDefault="00AC652D" w:rsidP="00AC652D">
            <w:pPr>
              <w:numPr>
                <w:ilvl w:val="0"/>
                <w:numId w:val="4"/>
              </w:numPr>
              <w:spacing w:before="100" w:beforeAutospacing="1" w:after="100" w:afterAutospacing="1" w:line="240" w:lineRule="auto"/>
              <w:rPr>
                <w:rFonts w:ascii="Times New Roman" w:eastAsia="Times New Roman" w:hAnsi="Times New Roman" w:cs="Times New Roman"/>
                <w:sz w:val="28"/>
                <w:szCs w:val="24"/>
              </w:rPr>
            </w:pPr>
            <w:r w:rsidRPr="00AC652D">
              <w:rPr>
                <w:rFonts w:ascii="Times New Roman" w:eastAsia="Times New Roman" w:hAnsi="Times New Roman" w:cs="Times New Roman"/>
                <w:sz w:val="28"/>
                <w:szCs w:val="24"/>
              </w:rPr>
              <w:t>No access to your funds before age 59 ½ or if you leave your employer at age 55 or older.</w:t>
            </w:r>
          </w:p>
          <w:p w:rsidR="00AC652D" w:rsidRPr="00AC652D" w:rsidRDefault="00AC652D" w:rsidP="00AC652D">
            <w:pPr>
              <w:numPr>
                <w:ilvl w:val="0"/>
                <w:numId w:val="5"/>
              </w:numPr>
              <w:spacing w:before="100" w:beforeAutospacing="1" w:after="100" w:afterAutospacing="1" w:line="240" w:lineRule="auto"/>
              <w:rPr>
                <w:rFonts w:ascii="Times New Roman" w:eastAsia="Times New Roman" w:hAnsi="Times New Roman" w:cs="Times New Roman"/>
                <w:sz w:val="28"/>
                <w:szCs w:val="24"/>
              </w:rPr>
            </w:pPr>
            <w:r w:rsidRPr="00AC652D">
              <w:rPr>
                <w:rFonts w:ascii="Times New Roman" w:eastAsia="Times New Roman" w:hAnsi="Times New Roman" w:cs="Times New Roman"/>
                <w:sz w:val="28"/>
                <w:szCs w:val="24"/>
              </w:rPr>
              <w:t>If you dip in early, expect a 10% penalty — on top of the usual tax bill.</w:t>
            </w:r>
          </w:p>
        </w:tc>
      </w:tr>
      <w:tr w:rsidR="00AC652D" w:rsidRPr="00AC652D" w:rsidTr="00AC652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C652D" w:rsidRPr="00AC652D" w:rsidRDefault="00AC652D" w:rsidP="00AC652D">
            <w:pPr>
              <w:spacing w:after="0" w:line="240" w:lineRule="auto"/>
              <w:rPr>
                <w:rFonts w:ascii="Times New Roman" w:eastAsia="Times New Roman" w:hAnsi="Times New Roman" w:cs="Times New Roman"/>
                <w:sz w:val="28"/>
                <w:szCs w:val="24"/>
              </w:rPr>
            </w:pPr>
            <w:r w:rsidRPr="00AC652D">
              <w:rPr>
                <w:rFonts w:ascii="Times New Roman" w:eastAsia="Times New Roman" w:hAnsi="Times New Roman" w:cs="Times New Roman"/>
                <w:sz w:val="28"/>
                <w:szCs w:val="24"/>
              </w:rPr>
              <w:t>Roth</w:t>
            </w:r>
          </w:p>
        </w:tc>
        <w:tc>
          <w:tcPr>
            <w:tcW w:w="3939" w:type="dxa"/>
            <w:tcBorders>
              <w:top w:val="outset" w:sz="6" w:space="0" w:color="auto"/>
              <w:left w:val="outset" w:sz="6" w:space="0" w:color="auto"/>
              <w:bottom w:val="outset" w:sz="6" w:space="0" w:color="auto"/>
              <w:right w:val="outset" w:sz="6" w:space="0" w:color="auto"/>
            </w:tcBorders>
            <w:hideMark/>
          </w:tcPr>
          <w:p w:rsidR="00AC652D" w:rsidRPr="00AC652D" w:rsidRDefault="00AC652D" w:rsidP="00AC652D">
            <w:pPr>
              <w:numPr>
                <w:ilvl w:val="0"/>
                <w:numId w:val="6"/>
              </w:numPr>
              <w:spacing w:before="100" w:beforeAutospacing="1" w:after="100" w:afterAutospacing="1" w:line="240" w:lineRule="auto"/>
              <w:rPr>
                <w:rFonts w:ascii="Times New Roman" w:eastAsia="Times New Roman" w:hAnsi="Times New Roman" w:cs="Times New Roman"/>
                <w:sz w:val="28"/>
                <w:szCs w:val="24"/>
              </w:rPr>
            </w:pPr>
            <w:r w:rsidRPr="00AC652D">
              <w:rPr>
                <w:rFonts w:ascii="Times New Roman" w:eastAsia="Times New Roman" w:hAnsi="Times New Roman" w:cs="Times New Roman"/>
                <w:sz w:val="28"/>
                <w:szCs w:val="24"/>
              </w:rPr>
              <w:t>Contributions are made with money that’s already been taxed.</w:t>
            </w:r>
          </w:p>
          <w:p w:rsidR="00AC652D" w:rsidRPr="00AC652D" w:rsidRDefault="00AC652D" w:rsidP="00AC652D">
            <w:pPr>
              <w:numPr>
                <w:ilvl w:val="0"/>
                <w:numId w:val="7"/>
              </w:numPr>
              <w:spacing w:before="100" w:beforeAutospacing="1" w:after="100" w:afterAutospacing="1" w:line="240" w:lineRule="auto"/>
              <w:rPr>
                <w:rFonts w:ascii="Times New Roman" w:eastAsia="Times New Roman" w:hAnsi="Times New Roman" w:cs="Times New Roman"/>
                <w:sz w:val="28"/>
                <w:szCs w:val="24"/>
              </w:rPr>
            </w:pPr>
            <w:r w:rsidRPr="00AC652D">
              <w:rPr>
                <w:rFonts w:ascii="Times New Roman" w:eastAsia="Times New Roman" w:hAnsi="Times New Roman" w:cs="Times New Roman"/>
                <w:sz w:val="28"/>
                <w:szCs w:val="24"/>
              </w:rPr>
              <w:t>No taxes paid upon withdrawal.</w:t>
            </w:r>
          </w:p>
        </w:tc>
        <w:tc>
          <w:tcPr>
            <w:tcW w:w="3932" w:type="dxa"/>
            <w:tcBorders>
              <w:top w:val="outset" w:sz="6" w:space="0" w:color="auto"/>
              <w:left w:val="outset" w:sz="6" w:space="0" w:color="auto"/>
              <w:bottom w:val="outset" w:sz="6" w:space="0" w:color="auto"/>
              <w:right w:val="outset" w:sz="6" w:space="0" w:color="auto"/>
            </w:tcBorders>
            <w:hideMark/>
          </w:tcPr>
          <w:p w:rsidR="00AC652D" w:rsidRPr="00AC652D" w:rsidRDefault="00AC652D" w:rsidP="00AC652D">
            <w:pPr>
              <w:numPr>
                <w:ilvl w:val="0"/>
                <w:numId w:val="8"/>
              </w:numPr>
              <w:spacing w:before="100" w:beforeAutospacing="1" w:after="100" w:afterAutospacing="1" w:line="240" w:lineRule="auto"/>
              <w:rPr>
                <w:rFonts w:ascii="Times New Roman" w:eastAsia="Times New Roman" w:hAnsi="Times New Roman" w:cs="Times New Roman"/>
                <w:sz w:val="28"/>
                <w:szCs w:val="24"/>
              </w:rPr>
            </w:pPr>
            <w:r w:rsidRPr="00AC652D">
              <w:rPr>
                <w:rFonts w:ascii="Times New Roman" w:eastAsia="Times New Roman" w:hAnsi="Times New Roman" w:cs="Times New Roman"/>
                <w:sz w:val="28"/>
                <w:szCs w:val="24"/>
              </w:rPr>
              <w:t>Better flexibility: free access to your money as long as you’ve held the account for 5 years.</w:t>
            </w:r>
          </w:p>
        </w:tc>
      </w:tr>
    </w:tbl>
    <w:p w:rsidR="00AC652D" w:rsidRPr="00AC652D" w:rsidRDefault="00AC652D" w:rsidP="00AC652D">
      <w:pPr>
        <w:spacing w:before="100" w:beforeAutospacing="1" w:after="100" w:afterAutospacing="1" w:line="240" w:lineRule="auto"/>
        <w:rPr>
          <w:rFonts w:ascii="Times New Roman" w:eastAsia="Times New Roman" w:hAnsi="Times New Roman" w:cs="Times New Roman"/>
          <w:sz w:val="36"/>
          <w:szCs w:val="24"/>
          <w:highlight w:val="green"/>
          <w:lang w:val="en"/>
        </w:rPr>
      </w:pPr>
    </w:p>
    <w:p w:rsidR="002B6D1B" w:rsidRDefault="00AC652D" w:rsidP="00AC652D">
      <w:pPr>
        <w:rPr>
          <w:rFonts w:ascii="Times New Roman" w:eastAsia="Times New Roman" w:hAnsi="Times New Roman" w:cs="Times New Roman"/>
          <w:sz w:val="36"/>
          <w:szCs w:val="24"/>
          <w:highlight w:val="green"/>
          <w:lang w:val="en"/>
        </w:rPr>
      </w:pPr>
      <w:r w:rsidRPr="00AC652D">
        <w:rPr>
          <w:rFonts w:ascii="Times New Roman" w:eastAsia="Times New Roman" w:hAnsi="Times New Roman" w:cs="Times New Roman"/>
          <w:sz w:val="36"/>
          <w:szCs w:val="24"/>
          <w:highlight w:val="green"/>
          <w:lang w:val="en"/>
        </w:rPr>
        <w:t xml:space="preserve">Finally, if your company is on shaky ground, don’t fret. Your 401(k) is off-limits. If your company goes under, the plan would </w:t>
      </w:r>
      <w:r w:rsidRPr="00AC652D">
        <w:rPr>
          <w:rFonts w:ascii="Times New Roman" w:eastAsia="Times New Roman" w:hAnsi="Times New Roman" w:cs="Times New Roman"/>
          <w:sz w:val="36"/>
          <w:szCs w:val="24"/>
          <w:highlight w:val="green"/>
          <w:lang w:val="en"/>
        </w:rPr>
        <w:lastRenderedPageBreak/>
        <w:t>most likely be terminated. If that happens, you should roll the money over into a traditional IRA to avoid paying the 10% withdrawal penalty and income taxes.</w:t>
      </w:r>
    </w:p>
    <w:p w:rsidR="00AC652D" w:rsidRDefault="00AC652D" w:rsidP="00AC652D">
      <w:pPr>
        <w:rPr>
          <w:rFonts w:ascii="Times New Roman" w:eastAsia="Times New Roman" w:hAnsi="Times New Roman" w:cs="Times New Roman"/>
          <w:sz w:val="36"/>
          <w:szCs w:val="24"/>
          <w:highlight w:val="green"/>
          <w:lang w:val="en"/>
        </w:rPr>
      </w:pPr>
    </w:p>
    <w:p w:rsidR="00304EEF" w:rsidRPr="00304EEF" w:rsidRDefault="00304EEF" w:rsidP="00304EEF">
      <w:pPr>
        <w:spacing w:before="100" w:beforeAutospacing="1" w:after="100" w:afterAutospacing="1" w:line="240" w:lineRule="auto"/>
        <w:outlineLvl w:val="0"/>
        <w:rPr>
          <w:rFonts w:ascii="Times New Roman" w:eastAsia="Times New Roman" w:hAnsi="Times New Roman" w:cs="Times New Roman"/>
          <w:b/>
          <w:bCs/>
          <w:kern w:val="36"/>
          <w:sz w:val="56"/>
          <w:szCs w:val="48"/>
          <w:lang w:val="en"/>
        </w:rPr>
      </w:pPr>
      <w:r w:rsidRPr="00304EEF">
        <w:rPr>
          <w:rFonts w:ascii="Times New Roman" w:eastAsia="Times New Roman" w:hAnsi="Times New Roman" w:cs="Times New Roman"/>
          <w:b/>
          <w:bCs/>
          <w:kern w:val="36"/>
          <w:sz w:val="56"/>
          <w:szCs w:val="48"/>
          <w:lang w:val="en"/>
        </w:rPr>
        <w:t xml:space="preserve">Individual </w:t>
      </w:r>
      <w:r w:rsidR="000368B8" w:rsidRPr="000368B8">
        <w:rPr>
          <w:rFonts w:ascii="Times New Roman" w:eastAsia="Times New Roman" w:hAnsi="Times New Roman" w:cs="Times New Roman"/>
          <w:b/>
          <w:bCs/>
          <w:kern w:val="36"/>
          <w:sz w:val="56"/>
          <w:szCs w:val="48"/>
          <w:lang w:val="en"/>
        </w:rPr>
        <w:t>R</w:t>
      </w:r>
      <w:r w:rsidRPr="00304EEF">
        <w:rPr>
          <w:rFonts w:ascii="Times New Roman" w:eastAsia="Times New Roman" w:hAnsi="Times New Roman" w:cs="Times New Roman"/>
          <w:b/>
          <w:bCs/>
          <w:kern w:val="36"/>
          <w:sz w:val="56"/>
          <w:szCs w:val="48"/>
          <w:lang w:val="en"/>
        </w:rPr>
        <w:t xml:space="preserve">etirement </w:t>
      </w:r>
      <w:r w:rsidR="000368B8" w:rsidRPr="000368B8">
        <w:rPr>
          <w:rFonts w:ascii="Times New Roman" w:eastAsia="Times New Roman" w:hAnsi="Times New Roman" w:cs="Times New Roman"/>
          <w:b/>
          <w:bCs/>
          <w:kern w:val="36"/>
          <w:sz w:val="56"/>
          <w:szCs w:val="48"/>
          <w:lang w:val="en"/>
        </w:rPr>
        <w:t>A</w:t>
      </w:r>
      <w:r w:rsidRPr="00304EEF">
        <w:rPr>
          <w:rFonts w:ascii="Times New Roman" w:eastAsia="Times New Roman" w:hAnsi="Times New Roman" w:cs="Times New Roman"/>
          <w:b/>
          <w:bCs/>
          <w:kern w:val="36"/>
          <w:sz w:val="56"/>
          <w:szCs w:val="48"/>
          <w:lang w:val="en"/>
        </w:rPr>
        <w:t>ccount</w:t>
      </w:r>
      <w:r w:rsidR="000368B8">
        <w:rPr>
          <w:rFonts w:ascii="Times New Roman" w:eastAsia="Times New Roman" w:hAnsi="Times New Roman" w:cs="Times New Roman"/>
          <w:b/>
          <w:bCs/>
          <w:kern w:val="36"/>
          <w:sz w:val="56"/>
          <w:szCs w:val="48"/>
          <w:lang w:val="en"/>
        </w:rPr>
        <w:t xml:space="preserve"> (IRA)</w:t>
      </w:r>
    </w:p>
    <w:p w:rsidR="00304EEF" w:rsidRDefault="00304EEF" w:rsidP="00304EEF">
      <w:pPr>
        <w:spacing w:after="0" w:line="240" w:lineRule="auto"/>
        <w:rPr>
          <w:rFonts w:ascii="Times New Roman" w:eastAsia="Times New Roman" w:hAnsi="Times New Roman" w:cs="Times New Roman"/>
          <w:sz w:val="36"/>
          <w:szCs w:val="24"/>
        </w:rPr>
      </w:pPr>
      <w:r w:rsidRPr="00304EEF">
        <w:rPr>
          <w:rFonts w:ascii="Times New Roman" w:eastAsia="Times New Roman" w:hAnsi="Times New Roman" w:cs="Times New Roman"/>
          <w:sz w:val="36"/>
          <w:szCs w:val="24"/>
        </w:rPr>
        <w:t>From Wikipedia, the free encyclopedia</w:t>
      </w:r>
    </w:p>
    <w:p w:rsidR="00304EEF" w:rsidRDefault="00304EEF" w:rsidP="00304EEF">
      <w:pPr>
        <w:spacing w:after="0" w:line="240" w:lineRule="auto"/>
        <w:rPr>
          <w:rFonts w:ascii="Times New Roman" w:eastAsia="Times New Roman" w:hAnsi="Times New Roman" w:cs="Times New Roman"/>
          <w:sz w:val="36"/>
          <w:szCs w:val="24"/>
        </w:rPr>
      </w:pPr>
    </w:p>
    <w:p w:rsidR="00304EEF" w:rsidRPr="00304EEF" w:rsidRDefault="00304EEF" w:rsidP="00304EEF">
      <w:pPr>
        <w:spacing w:after="0" w:line="240" w:lineRule="auto"/>
        <w:rPr>
          <w:rFonts w:ascii="Times New Roman" w:eastAsia="Times New Roman" w:hAnsi="Times New Roman" w:cs="Times New Roman"/>
          <w:sz w:val="36"/>
          <w:szCs w:val="24"/>
          <w:lang w:val="en"/>
        </w:rPr>
      </w:pPr>
      <w:r w:rsidRPr="00304EEF">
        <w:rPr>
          <w:rFonts w:ascii="Times New Roman" w:eastAsia="Times New Roman" w:hAnsi="Times New Roman" w:cs="Times New Roman"/>
          <w:sz w:val="36"/>
          <w:szCs w:val="24"/>
          <w:lang w:val="en"/>
        </w:rPr>
        <w:t xml:space="preserve">An </w:t>
      </w:r>
      <w:r w:rsidRPr="00304EEF">
        <w:rPr>
          <w:rFonts w:ascii="Times New Roman" w:eastAsia="Times New Roman" w:hAnsi="Times New Roman" w:cs="Times New Roman"/>
          <w:b/>
          <w:bCs/>
          <w:sz w:val="36"/>
          <w:szCs w:val="24"/>
          <w:lang w:val="en"/>
        </w:rPr>
        <w:t>individual retirement account</w:t>
      </w:r>
      <w:hyperlink r:id="rId16" w:anchor="cite_note-1" w:history="1">
        <w:r w:rsidRPr="00304EEF">
          <w:rPr>
            <w:rFonts w:ascii="Times New Roman" w:eastAsia="Times New Roman" w:hAnsi="Times New Roman" w:cs="Times New Roman"/>
            <w:color w:val="0000FF"/>
            <w:sz w:val="36"/>
            <w:szCs w:val="24"/>
            <w:u w:val="single"/>
            <w:vertAlign w:val="superscript"/>
            <w:lang w:val="en"/>
          </w:rPr>
          <w:t>[1]</w:t>
        </w:r>
      </w:hyperlink>
      <w:r w:rsidRPr="00304EEF">
        <w:rPr>
          <w:rFonts w:ascii="Times New Roman" w:eastAsia="Times New Roman" w:hAnsi="Times New Roman" w:cs="Times New Roman"/>
          <w:sz w:val="36"/>
          <w:szCs w:val="24"/>
          <w:lang w:val="en"/>
        </w:rPr>
        <w:t xml:space="preserve"> or </w:t>
      </w:r>
      <w:r w:rsidRPr="00304EEF">
        <w:rPr>
          <w:rFonts w:ascii="Times New Roman" w:eastAsia="Times New Roman" w:hAnsi="Times New Roman" w:cs="Times New Roman"/>
          <w:b/>
          <w:bCs/>
          <w:sz w:val="36"/>
          <w:szCs w:val="24"/>
          <w:lang w:val="en"/>
        </w:rPr>
        <w:t>IRA</w:t>
      </w:r>
      <w:r w:rsidRPr="00304EEF">
        <w:rPr>
          <w:rFonts w:ascii="Times New Roman" w:eastAsia="Times New Roman" w:hAnsi="Times New Roman" w:cs="Times New Roman"/>
          <w:sz w:val="36"/>
          <w:szCs w:val="24"/>
          <w:lang w:val="en"/>
        </w:rPr>
        <w:t xml:space="preserve"> is a form of </w:t>
      </w:r>
      <w:hyperlink r:id="rId17" w:tooltip="Retirement plan" w:history="1">
        <w:r w:rsidRPr="00304EEF">
          <w:rPr>
            <w:rFonts w:ascii="Times New Roman" w:eastAsia="Times New Roman" w:hAnsi="Times New Roman" w:cs="Times New Roman"/>
            <w:color w:val="0000FF"/>
            <w:sz w:val="36"/>
            <w:szCs w:val="24"/>
            <w:u w:val="single"/>
            <w:lang w:val="en"/>
          </w:rPr>
          <w:t>"individual retirement plan"</w:t>
        </w:r>
      </w:hyperlink>
      <w:r w:rsidRPr="00304EEF">
        <w:rPr>
          <w:rFonts w:ascii="Times New Roman" w:eastAsia="Times New Roman" w:hAnsi="Times New Roman" w:cs="Times New Roman"/>
          <w:sz w:val="36"/>
          <w:szCs w:val="24"/>
          <w:lang w:val="en"/>
        </w:rPr>
        <w:t>,</w:t>
      </w:r>
      <w:hyperlink r:id="rId18" w:anchor="cite_note-2" w:history="1">
        <w:r w:rsidRPr="00304EEF">
          <w:rPr>
            <w:rFonts w:ascii="Times New Roman" w:eastAsia="Times New Roman" w:hAnsi="Times New Roman" w:cs="Times New Roman"/>
            <w:color w:val="0000FF"/>
            <w:sz w:val="36"/>
            <w:szCs w:val="24"/>
            <w:u w:val="single"/>
            <w:vertAlign w:val="superscript"/>
            <w:lang w:val="en"/>
          </w:rPr>
          <w:t>[2]</w:t>
        </w:r>
      </w:hyperlink>
      <w:r w:rsidRPr="00304EEF">
        <w:rPr>
          <w:rFonts w:ascii="Times New Roman" w:eastAsia="Times New Roman" w:hAnsi="Times New Roman" w:cs="Times New Roman"/>
          <w:sz w:val="36"/>
          <w:szCs w:val="24"/>
          <w:lang w:val="en"/>
        </w:rPr>
        <w:t xml:space="preserve"> provided by many financial institutions, that provides </w:t>
      </w:r>
      <w:hyperlink r:id="rId19" w:tooltip="Tax advantage" w:history="1">
        <w:r w:rsidRPr="00304EEF">
          <w:rPr>
            <w:rFonts w:ascii="Times New Roman" w:eastAsia="Times New Roman" w:hAnsi="Times New Roman" w:cs="Times New Roman"/>
            <w:color w:val="0000FF"/>
            <w:sz w:val="36"/>
            <w:szCs w:val="24"/>
            <w:u w:val="single"/>
            <w:lang w:val="en"/>
          </w:rPr>
          <w:t>tax advantages</w:t>
        </w:r>
      </w:hyperlink>
      <w:r w:rsidRPr="00304EEF">
        <w:rPr>
          <w:rFonts w:ascii="Times New Roman" w:eastAsia="Times New Roman" w:hAnsi="Times New Roman" w:cs="Times New Roman"/>
          <w:sz w:val="36"/>
          <w:szCs w:val="24"/>
          <w:lang w:val="en"/>
        </w:rPr>
        <w:t xml:space="preserve"> for </w:t>
      </w:r>
      <w:hyperlink r:id="rId20" w:tooltip="Retirement" w:history="1">
        <w:r w:rsidRPr="00304EEF">
          <w:rPr>
            <w:rFonts w:ascii="Times New Roman" w:eastAsia="Times New Roman" w:hAnsi="Times New Roman" w:cs="Times New Roman"/>
            <w:color w:val="0000FF"/>
            <w:sz w:val="36"/>
            <w:szCs w:val="24"/>
            <w:u w:val="single"/>
            <w:lang w:val="en"/>
          </w:rPr>
          <w:t>retirement</w:t>
        </w:r>
      </w:hyperlink>
      <w:r w:rsidRPr="00304EEF">
        <w:rPr>
          <w:rFonts w:ascii="Times New Roman" w:eastAsia="Times New Roman" w:hAnsi="Times New Roman" w:cs="Times New Roman"/>
          <w:sz w:val="36"/>
          <w:szCs w:val="24"/>
          <w:lang w:val="en"/>
        </w:rPr>
        <w:t xml:space="preserve"> savings in the United States. </w:t>
      </w:r>
      <w:r w:rsidRPr="00304EEF">
        <w:rPr>
          <w:rFonts w:ascii="Times New Roman" w:eastAsia="Times New Roman" w:hAnsi="Times New Roman" w:cs="Times New Roman"/>
          <w:sz w:val="36"/>
          <w:szCs w:val="24"/>
          <w:highlight w:val="yellow"/>
          <w:lang w:val="en"/>
        </w:rPr>
        <w:t>An individual retirement account is a type of "individual retirement arrangement"</w:t>
      </w:r>
      <w:hyperlink r:id="rId21" w:anchor="cite_note-3" w:history="1">
        <w:r w:rsidRPr="00304EEF">
          <w:rPr>
            <w:rFonts w:ascii="Times New Roman" w:eastAsia="Times New Roman" w:hAnsi="Times New Roman" w:cs="Times New Roman"/>
            <w:color w:val="0000FF"/>
            <w:sz w:val="36"/>
            <w:szCs w:val="24"/>
            <w:highlight w:val="yellow"/>
            <w:u w:val="single"/>
            <w:vertAlign w:val="superscript"/>
            <w:lang w:val="en"/>
          </w:rPr>
          <w:t>[3]</w:t>
        </w:r>
      </w:hyperlink>
      <w:r w:rsidRPr="00304EEF">
        <w:rPr>
          <w:rFonts w:ascii="Times New Roman" w:eastAsia="Times New Roman" w:hAnsi="Times New Roman" w:cs="Times New Roman"/>
          <w:sz w:val="36"/>
          <w:szCs w:val="24"/>
          <w:highlight w:val="yellow"/>
          <w:lang w:val="en"/>
        </w:rPr>
        <w:t xml:space="preserve"> as described in IRS Publication 590, </w:t>
      </w:r>
      <w:r w:rsidRPr="00304EEF">
        <w:rPr>
          <w:rFonts w:ascii="Times New Roman" w:eastAsia="Times New Roman" w:hAnsi="Times New Roman" w:cs="Times New Roman"/>
          <w:b/>
          <w:bCs/>
          <w:sz w:val="36"/>
          <w:szCs w:val="24"/>
          <w:highlight w:val="yellow"/>
          <w:lang w:val="en"/>
        </w:rPr>
        <w:t>individual retirement arrangements</w:t>
      </w:r>
      <w:r w:rsidRPr="00304EEF">
        <w:rPr>
          <w:rFonts w:ascii="Times New Roman" w:eastAsia="Times New Roman" w:hAnsi="Times New Roman" w:cs="Times New Roman"/>
          <w:sz w:val="36"/>
          <w:szCs w:val="24"/>
          <w:highlight w:val="yellow"/>
          <w:lang w:val="en"/>
        </w:rPr>
        <w:t xml:space="preserve"> (</w:t>
      </w:r>
      <w:r w:rsidRPr="00304EEF">
        <w:rPr>
          <w:rFonts w:ascii="Times New Roman" w:eastAsia="Times New Roman" w:hAnsi="Times New Roman" w:cs="Times New Roman"/>
          <w:b/>
          <w:bCs/>
          <w:sz w:val="36"/>
          <w:szCs w:val="24"/>
          <w:highlight w:val="yellow"/>
          <w:lang w:val="en"/>
        </w:rPr>
        <w:t>IRAs</w:t>
      </w:r>
      <w:r w:rsidRPr="00304EEF">
        <w:rPr>
          <w:rFonts w:ascii="Times New Roman" w:eastAsia="Times New Roman" w:hAnsi="Times New Roman" w:cs="Times New Roman"/>
          <w:sz w:val="36"/>
          <w:szCs w:val="24"/>
          <w:highlight w:val="yellow"/>
          <w:lang w:val="en"/>
        </w:rPr>
        <w:t>).</w:t>
      </w:r>
      <w:hyperlink r:id="rId22" w:anchor="cite_note-autogenerated45-4" w:history="1">
        <w:r w:rsidRPr="00304EEF">
          <w:rPr>
            <w:rFonts w:ascii="Times New Roman" w:eastAsia="Times New Roman" w:hAnsi="Times New Roman" w:cs="Times New Roman"/>
            <w:color w:val="0000FF"/>
            <w:sz w:val="36"/>
            <w:szCs w:val="24"/>
            <w:highlight w:val="yellow"/>
            <w:u w:val="single"/>
            <w:vertAlign w:val="superscript"/>
            <w:lang w:val="en"/>
          </w:rPr>
          <w:t>[4]</w:t>
        </w:r>
      </w:hyperlink>
      <w:r w:rsidRPr="00304EEF">
        <w:rPr>
          <w:rFonts w:ascii="Times New Roman" w:eastAsia="Times New Roman" w:hAnsi="Times New Roman" w:cs="Times New Roman"/>
          <w:sz w:val="36"/>
          <w:szCs w:val="24"/>
          <w:lang w:val="en"/>
        </w:rPr>
        <w:t xml:space="preserve"> The term </w:t>
      </w:r>
      <w:r w:rsidRPr="00304EEF">
        <w:rPr>
          <w:rFonts w:ascii="Times New Roman" w:eastAsia="Times New Roman" w:hAnsi="Times New Roman" w:cs="Times New Roman"/>
          <w:i/>
          <w:iCs/>
          <w:sz w:val="36"/>
          <w:szCs w:val="24"/>
          <w:lang w:val="en"/>
        </w:rPr>
        <w:t>IRA</w:t>
      </w:r>
      <w:r w:rsidRPr="00304EEF">
        <w:rPr>
          <w:rFonts w:ascii="Times New Roman" w:eastAsia="Times New Roman" w:hAnsi="Times New Roman" w:cs="Times New Roman"/>
          <w:sz w:val="36"/>
          <w:szCs w:val="24"/>
          <w:lang w:val="en"/>
        </w:rPr>
        <w:t xml:space="preserve">, used to describe both individual retirement accounts and the broader category of individual retirement arrangements, encompasses an individual retirement account; a trust or custodial account set up for the exclusive benefit of taxpayers or their beneficiaries; </w:t>
      </w:r>
      <w:r w:rsidRPr="00304EEF">
        <w:rPr>
          <w:rFonts w:ascii="Times New Roman" w:eastAsia="Times New Roman" w:hAnsi="Times New Roman" w:cs="Times New Roman"/>
          <w:b/>
          <w:sz w:val="36"/>
          <w:szCs w:val="24"/>
          <w:highlight w:val="yellow"/>
          <w:lang w:val="en"/>
        </w:rPr>
        <w:t>and</w:t>
      </w:r>
      <w:r w:rsidRPr="00304EEF">
        <w:rPr>
          <w:rFonts w:ascii="Times New Roman" w:eastAsia="Times New Roman" w:hAnsi="Times New Roman" w:cs="Times New Roman"/>
          <w:sz w:val="36"/>
          <w:szCs w:val="24"/>
          <w:highlight w:val="yellow"/>
          <w:lang w:val="en"/>
        </w:rPr>
        <w:t xml:space="preserve"> an individual retirement </w:t>
      </w:r>
      <w:hyperlink r:id="rId23" w:tooltip="Annuity (US financial products)" w:history="1">
        <w:r w:rsidRPr="00304EEF">
          <w:rPr>
            <w:rFonts w:ascii="Times New Roman" w:eastAsia="Times New Roman" w:hAnsi="Times New Roman" w:cs="Times New Roman"/>
            <w:color w:val="0000FF"/>
            <w:sz w:val="36"/>
            <w:szCs w:val="24"/>
            <w:highlight w:val="yellow"/>
            <w:u w:val="single"/>
            <w:lang w:val="en"/>
          </w:rPr>
          <w:t>annuity</w:t>
        </w:r>
      </w:hyperlink>
      <w:r w:rsidRPr="00304EEF">
        <w:rPr>
          <w:rFonts w:ascii="Times New Roman" w:eastAsia="Times New Roman" w:hAnsi="Times New Roman" w:cs="Times New Roman"/>
          <w:sz w:val="36"/>
          <w:szCs w:val="24"/>
          <w:highlight w:val="yellow"/>
          <w:lang w:val="en"/>
        </w:rPr>
        <w:t>,</w:t>
      </w:r>
      <w:hyperlink r:id="rId24" w:anchor="cite_note-5" w:history="1">
        <w:r w:rsidRPr="00304EEF">
          <w:rPr>
            <w:rFonts w:ascii="Times New Roman" w:eastAsia="Times New Roman" w:hAnsi="Times New Roman" w:cs="Times New Roman"/>
            <w:color w:val="0000FF"/>
            <w:sz w:val="36"/>
            <w:szCs w:val="24"/>
            <w:highlight w:val="yellow"/>
            <w:u w:val="single"/>
            <w:vertAlign w:val="superscript"/>
            <w:lang w:val="en"/>
          </w:rPr>
          <w:t>[5]</w:t>
        </w:r>
      </w:hyperlink>
      <w:r w:rsidRPr="00304EEF">
        <w:rPr>
          <w:rFonts w:ascii="Times New Roman" w:eastAsia="Times New Roman" w:hAnsi="Times New Roman" w:cs="Times New Roman"/>
          <w:sz w:val="36"/>
          <w:szCs w:val="24"/>
          <w:highlight w:val="yellow"/>
          <w:lang w:val="en"/>
        </w:rPr>
        <w:t xml:space="preserve"> by which the taxpayers purchase an annuity contract or an endowment contract from a life insurance company.</w:t>
      </w:r>
      <w:hyperlink r:id="rId25" w:anchor="cite_note-IRS.2C1-6" w:history="1">
        <w:r w:rsidRPr="00304EEF">
          <w:rPr>
            <w:rFonts w:ascii="Times New Roman" w:eastAsia="Times New Roman" w:hAnsi="Times New Roman" w:cs="Times New Roman"/>
            <w:color w:val="0000FF"/>
            <w:sz w:val="36"/>
            <w:szCs w:val="24"/>
            <w:highlight w:val="yellow"/>
            <w:u w:val="single"/>
            <w:vertAlign w:val="superscript"/>
            <w:lang w:val="en"/>
          </w:rPr>
          <w:t>[6]</w:t>
        </w:r>
      </w:hyperlink>
    </w:p>
    <w:p w:rsidR="00304EEF" w:rsidRDefault="00304EEF" w:rsidP="00AC652D">
      <w:pPr>
        <w:rPr>
          <w:rFonts w:ascii="Times New Roman" w:eastAsia="Times New Roman" w:hAnsi="Times New Roman" w:cs="Times New Roman"/>
          <w:sz w:val="36"/>
          <w:szCs w:val="24"/>
          <w:highlight w:val="green"/>
          <w:lang w:val="en"/>
        </w:rPr>
      </w:pPr>
    </w:p>
    <w:p w:rsidR="00304EEF" w:rsidRPr="00304EEF" w:rsidRDefault="00304EEF" w:rsidP="00304EEF">
      <w:pPr>
        <w:spacing w:before="100" w:beforeAutospacing="1" w:after="100" w:afterAutospacing="1" w:line="240" w:lineRule="auto"/>
        <w:rPr>
          <w:rFonts w:ascii="Times New Roman" w:eastAsia="Times New Roman" w:hAnsi="Times New Roman" w:cs="Times New Roman"/>
          <w:sz w:val="36"/>
          <w:szCs w:val="24"/>
        </w:rPr>
      </w:pPr>
      <w:r w:rsidRPr="00304EEF">
        <w:rPr>
          <w:rFonts w:ascii="Times New Roman" w:eastAsia="Times New Roman" w:hAnsi="Times New Roman" w:cs="Times New Roman"/>
          <w:sz w:val="36"/>
          <w:szCs w:val="24"/>
        </w:rPr>
        <w:t>There are several types of IRA:</w:t>
      </w:r>
    </w:p>
    <w:p w:rsidR="00304EEF" w:rsidRPr="00304EEF" w:rsidRDefault="00304EEF" w:rsidP="00304EEF">
      <w:pPr>
        <w:numPr>
          <w:ilvl w:val="0"/>
          <w:numId w:val="10"/>
        </w:numPr>
        <w:spacing w:before="100" w:beforeAutospacing="1" w:after="100" w:afterAutospacing="1" w:line="240" w:lineRule="auto"/>
        <w:rPr>
          <w:rFonts w:ascii="Times New Roman" w:eastAsia="Times New Roman" w:hAnsi="Times New Roman" w:cs="Times New Roman"/>
          <w:sz w:val="36"/>
          <w:szCs w:val="24"/>
        </w:rPr>
      </w:pPr>
      <w:hyperlink r:id="rId26" w:tooltip="Traditional IRA" w:history="1">
        <w:r w:rsidRPr="00304EEF">
          <w:rPr>
            <w:rFonts w:ascii="Times New Roman" w:eastAsia="Times New Roman" w:hAnsi="Times New Roman" w:cs="Times New Roman"/>
            <w:color w:val="0000FF"/>
            <w:sz w:val="36"/>
            <w:szCs w:val="24"/>
            <w:u w:val="single"/>
          </w:rPr>
          <w:t>Traditional IRA</w:t>
        </w:r>
      </w:hyperlink>
      <w:r w:rsidRPr="00304EEF">
        <w:rPr>
          <w:rFonts w:ascii="Times New Roman" w:eastAsia="Times New Roman" w:hAnsi="Times New Roman" w:cs="Times New Roman"/>
          <w:sz w:val="36"/>
          <w:szCs w:val="24"/>
        </w:rPr>
        <w:t xml:space="preserve"> – contributions are often tax-deductible (often simplified as “</w:t>
      </w:r>
      <w:r w:rsidRPr="00304EEF">
        <w:rPr>
          <w:rFonts w:ascii="Times New Roman" w:eastAsia="Times New Roman" w:hAnsi="Times New Roman" w:cs="Times New Roman"/>
          <w:sz w:val="36"/>
          <w:szCs w:val="24"/>
          <w:highlight w:val="yellow"/>
        </w:rPr>
        <w:t>money is deposited before tax</w:t>
      </w:r>
      <w:r w:rsidRPr="00304EEF">
        <w:rPr>
          <w:rFonts w:ascii="Times New Roman" w:eastAsia="Times New Roman" w:hAnsi="Times New Roman" w:cs="Times New Roman"/>
          <w:sz w:val="36"/>
          <w:szCs w:val="24"/>
        </w:rPr>
        <w:t xml:space="preserve">” or “contributions are made with pre-tax assets”), all transactions and earnings within the IRA have no tax impact, and withdrawals at retirement are taxed as income </w:t>
      </w:r>
      <w:r w:rsidRPr="00304EEF">
        <w:rPr>
          <w:rFonts w:ascii="Times New Roman" w:eastAsia="Times New Roman" w:hAnsi="Times New Roman" w:cs="Times New Roman"/>
          <w:sz w:val="36"/>
          <w:szCs w:val="24"/>
        </w:rPr>
        <w:lastRenderedPageBreak/>
        <w:t xml:space="preserve">(except for those portions of the withdrawal corresponding to contributions that were not deducted). Depending upon the nature of the contribution, a traditional IRA may be referred to as a “deductible IRA” or a “non-deductible IRA.” It was introduced with the </w:t>
      </w:r>
      <w:hyperlink r:id="rId27" w:tooltip="Employee Retirement Income Security Act" w:history="1">
        <w:r w:rsidRPr="00304EEF">
          <w:rPr>
            <w:rFonts w:ascii="Times New Roman" w:eastAsia="Times New Roman" w:hAnsi="Times New Roman" w:cs="Times New Roman"/>
            <w:color w:val="0000FF"/>
            <w:sz w:val="36"/>
            <w:szCs w:val="24"/>
            <w:u w:val="single"/>
          </w:rPr>
          <w:t>Employee Retirement Income Security Act of 1974</w:t>
        </w:r>
      </w:hyperlink>
      <w:r w:rsidRPr="00304EEF">
        <w:rPr>
          <w:rFonts w:ascii="Times New Roman" w:eastAsia="Times New Roman" w:hAnsi="Times New Roman" w:cs="Times New Roman"/>
          <w:sz w:val="36"/>
          <w:szCs w:val="24"/>
        </w:rPr>
        <w:t xml:space="preserve"> (ERISA) and made popular with the </w:t>
      </w:r>
      <w:hyperlink r:id="rId28" w:tooltip="Economic Recovery Tax Act of 1981" w:history="1">
        <w:r w:rsidRPr="00304EEF">
          <w:rPr>
            <w:rFonts w:ascii="Times New Roman" w:eastAsia="Times New Roman" w:hAnsi="Times New Roman" w:cs="Times New Roman"/>
            <w:color w:val="0000FF"/>
            <w:sz w:val="36"/>
            <w:szCs w:val="24"/>
            <w:u w:val="single"/>
          </w:rPr>
          <w:t>Economic Recovery Tax Act of 1981</w:t>
        </w:r>
      </w:hyperlink>
      <w:r w:rsidRPr="00304EEF">
        <w:rPr>
          <w:rFonts w:ascii="Times New Roman" w:eastAsia="Times New Roman" w:hAnsi="Times New Roman" w:cs="Times New Roman"/>
          <w:sz w:val="36"/>
          <w:szCs w:val="24"/>
        </w:rPr>
        <w:t>.</w:t>
      </w:r>
    </w:p>
    <w:p w:rsidR="00304EEF" w:rsidRPr="00304EEF" w:rsidRDefault="00304EEF" w:rsidP="00304EEF">
      <w:pPr>
        <w:numPr>
          <w:ilvl w:val="0"/>
          <w:numId w:val="10"/>
        </w:numPr>
        <w:spacing w:before="100" w:beforeAutospacing="1" w:after="100" w:afterAutospacing="1" w:line="240" w:lineRule="auto"/>
        <w:rPr>
          <w:rFonts w:ascii="Times New Roman" w:eastAsia="Times New Roman" w:hAnsi="Times New Roman" w:cs="Times New Roman"/>
          <w:sz w:val="36"/>
          <w:szCs w:val="24"/>
        </w:rPr>
      </w:pPr>
      <w:hyperlink r:id="rId29" w:tooltip="Roth IRA" w:history="1">
        <w:r w:rsidRPr="00304EEF">
          <w:rPr>
            <w:rFonts w:ascii="Times New Roman" w:eastAsia="Times New Roman" w:hAnsi="Times New Roman" w:cs="Times New Roman"/>
            <w:color w:val="0000FF"/>
            <w:sz w:val="36"/>
            <w:szCs w:val="24"/>
            <w:u w:val="single"/>
          </w:rPr>
          <w:t>Roth IRA</w:t>
        </w:r>
      </w:hyperlink>
      <w:r w:rsidRPr="00304EEF">
        <w:rPr>
          <w:rFonts w:ascii="Times New Roman" w:eastAsia="Times New Roman" w:hAnsi="Times New Roman" w:cs="Times New Roman"/>
          <w:sz w:val="36"/>
          <w:szCs w:val="24"/>
        </w:rPr>
        <w:t xml:space="preserve"> – </w:t>
      </w:r>
      <w:r w:rsidRPr="00304EEF">
        <w:rPr>
          <w:rFonts w:ascii="Times New Roman" w:eastAsia="Times New Roman" w:hAnsi="Times New Roman" w:cs="Times New Roman"/>
          <w:sz w:val="36"/>
          <w:szCs w:val="24"/>
          <w:highlight w:val="yellow"/>
        </w:rPr>
        <w:t>contributions are made with after-tax assets</w:t>
      </w:r>
      <w:r w:rsidRPr="00304EEF">
        <w:rPr>
          <w:rFonts w:ascii="Times New Roman" w:eastAsia="Times New Roman" w:hAnsi="Times New Roman" w:cs="Times New Roman"/>
          <w:sz w:val="36"/>
          <w:szCs w:val="24"/>
        </w:rPr>
        <w:t xml:space="preserve">, all transactions within the IRA have no tax impact, and withdrawals are usually tax-free. </w:t>
      </w:r>
      <w:r w:rsidRPr="00304EEF">
        <w:rPr>
          <w:rFonts w:ascii="Times New Roman" w:eastAsia="Times New Roman" w:hAnsi="Times New Roman" w:cs="Times New Roman"/>
          <w:sz w:val="36"/>
          <w:szCs w:val="24"/>
          <w:highlight w:val="yellow"/>
        </w:rPr>
        <w:t xml:space="preserve">Named for Senator </w:t>
      </w:r>
      <w:hyperlink r:id="rId30" w:tooltip="William V. Roth, Jr." w:history="1">
        <w:r w:rsidRPr="00304EEF">
          <w:rPr>
            <w:rFonts w:ascii="Times New Roman" w:eastAsia="Times New Roman" w:hAnsi="Times New Roman" w:cs="Times New Roman"/>
            <w:color w:val="0000FF"/>
            <w:sz w:val="36"/>
            <w:szCs w:val="24"/>
            <w:highlight w:val="yellow"/>
            <w:u w:val="single"/>
          </w:rPr>
          <w:t>William V. Roth, Jr.</w:t>
        </w:r>
      </w:hyperlink>
      <w:r w:rsidRPr="00304EEF">
        <w:rPr>
          <w:rFonts w:ascii="Times New Roman" w:eastAsia="Times New Roman" w:hAnsi="Times New Roman" w:cs="Times New Roman"/>
          <w:sz w:val="36"/>
          <w:szCs w:val="24"/>
        </w:rPr>
        <w:t xml:space="preserve">, the Roth IRA was introduced as part of the </w:t>
      </w:r>
      <w:hyperlink r:id="rId31" w:tooltip="Taxpayer Relief Act of 1997" w:history="1">
        <w:r w:rsidRPr="00304EEF">
          <w:rPr>
            <w:rFonts w:ascii="Times New Roman" w:eastAsia="Times New Roman" w:hAnsi="Times New Roman" w:cs="Times New Roman"/>
            <w:color w:val="0000FF"/>
            <w:sz w:val="36"/>
            <w:szCs w:val="24"/>
            <w:u w:val="single"/>
          </w:rPr>
          <w:t>Taxpayer Relief Act of 1997</w:t>
        </w:r>
      </w:hyperlink>
      <w:r w:rsidRPr="00304EEF">
        <w:rPr>
          <w:rFonts w:ascii="Times New Roman" w:eastAsia="Times New Roman" w:hAnsi="Times New Roman" w:cs="Times New Roman"/>
          <w:sz w:val="36"/>
          <w:szCs w:val="24"/>
        </w:rPr>
        <w:t xml:space="preserve">. </w:t>
      </w:r>
    </w:p>
    <w:p w:rsidR="00304EEF" w:rsidRPr="00304EEF" w:rsidRDefault="00304EEF" w:rsidP="00304EEF">
      <w:pPr>
        <w:numPr>
          <w:ilvl w:val="1"/>
          <w:numId w:val="10"/>
        </w:numPr>
        <w:spacing w:before="100" w:beforeAutospacing="1" w:after="100" w:afterAutospacing="1" w:line="240" w:lineRule="auto"/>
        <w:rPr>
          <w:rFonts w:ascii="Times New Roman" w:eastAsia="Times New Roman" w:hAnsi="Times New Roman" w:cs="Times New Roman"/>
          <w:sz w:val="36"/>
          <w:szCs w:val="24"/>
        </w:rPr>
      </w:pPr>
      <w:hyperlink r:id="rId32" w:tooltip="MyRA" w:history="1">
        <w:proofErr w:type="spellStart"/>
        <w:r w:rsidRPr="00304EEF">
          <w:rPr>
            <w:rFonts w:ascii="Times New Roman" w:eastAsia="Times New Roman" w:hAnsi="Times New Roman" w:cs="Times New Roman"/>
            <w:color w:val="0000FF"/>
            <w:sz w:val="36"/>
            <w:szCs w:val="24"/>
            <w:u w:val="single"/>
          </w:rPr>
          <w:t>myRA</w:t>
        </w:r>
        <w:proofErr w:type="spellEnd"/>
      </w:hyperlink>
      <w:r w:rsidRPr="00304EEF">
        <w:rPr>
          <w:rFonts w:ascii="Times New Roman" w:eastAsia="Times New Roman" w:hAnsi="Times New Roman" w:cs="Times New Roman"/>
          <w:sz w:val="36"/>
          <w:szCs w:val="24"/>
        </w:rPr>
        <w:t xml:space="preserve"> - a 2014 Obama administration initiative based on the Roth IRA</w:t>
      </w:r>
    </w:p>
    <w:p w:rsidR="00304EEF" w:rsidRPr="00304EEF" w:rsidRDefault="00304EEF" w:rsidP="00304EEF">
      <w:pPr>
        <w:numPr>
          <w:ilvl w:val="0"/>
          <w:numId w:val="10"/>
        </w:numPr>
        <w:spacing w:before="100" w:beforeAutospacing="1" w:after="100" w:afterAutospacing="1" w:line="240" w:lineRule="auto"/>
        <w:rPr>
          <w:rFonts w:ascii="Times New Roman" w:eastAsia="Times New Roman" w:hAnsi="Times New Roman" w:cs="Times New Roman"/>
          <w:sz w:val="36"/>
          <w:szCs w:val="24"/>
          <w:highlight w:val="yellow"/>
        </w:rPr>
      </w:pPr>
      <w:hyperlink r:id="rId33" w:tooltip="SEP IRA" w:history="1">
        <w:r w:rsidRPr="00304EEF">
          <w:rPr>
            <w:rFonts w:ascii="Times New Roman" w:eastAsia="Times New Roman" w:hAnsi="Times New Roman" w:cs="Times New Roman"/>
            <w:color w:val="0000FF"/>
            <w:sz w:val="36"/>
            <w:szCs w:val="24"/>
            <w:u w:val="single"/>
          </w:rPr>
          <w:t>SEP IRA</w:t>
        </w:r>
      </w:hyperlink>
      <w:r w:rsidRPr="00304EEF">
        <w:rPr>
          <w:rFonts w:ascii="Times New Roman" w:eastAsia="Times New Roman" w:hAnsi="Times New Roman" w:cs="Times New Roman"/>
          <w:sz w:val="36"/>
          <w:szCs w:val="24"/>
        </w:rPr>
        <w:t xml:space="preserve"> – a provision that allows an employer (</w:t>
      </w:r>
      <w:r w:rsidRPr="00304EEF">
        <w:rPr>
          <w:rFonts w:ascii="Times New Roman" w:eastAsia="Times New Roman" w:hAnsi="Times New Roman" w:cs="Times New Roman"/>
          <w:sz w:val="36"/>
          <w:szCs w:val="24"/>
          <w:highlight w:val="yellow"/>
        </w:rPr>
        <w:t>typically a small business or self-employed individual) to make retirement plan contributions into a Traditional IRA established in the employee’s name, instead of to a pension fund in the company's name.</w:t>
      </w:r>
    </w:p>
    <w:p w:rsidR="00304EEF" w:rsidRPr="00304EEF" w:rsidRDefault="00304EEF" w:rsidP="00304EEF">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4" w:tooltip="SIMPLE IRA" w:history="1">
        <w:r w:rsidRPr="00304EEF">
          <w:rPr>
            <w:rFonts w:ascii="Times New Roman" w:eastAsia="Times New Roman" w:hAnsi="Times New Roman" w:cs="Times New Roman"/>
            <w:color w:val="0000FF"/>
            <w:sz w:val="36"/>
            <w:szCs w:val="24"/>
            <w:u w:val="single"/>
          </w:rPr>
          <w:t>SIMPLE IRA</w:t>
        </w:r>
      </w:hyperlink>
      <w:r w:rsidRPr="00304EEF">
        <w:rPr>
          <w:rFonts w:ascii="Times New Roman" w:eastAsia="Times New Roman" w:hAnsi="Times New Roman" w:cs="Times New Roman"/>
          <w:sz w:val="36"/>
          <w:szCs w:val="24"/>
        </w:rPr>
        <w:t xml:space="preserve"> – a </w:t>
      </w:r>
      <w:r w:rsidRPr="00304EEF">
        <w:rPr>
          <w:rFonts w:ascii="Times New Roman" w:eastAsia="Times New Roman" w:hAnsi="Times New Roman" w:cs="Times New Roman"/>
          <w:sz w:val="36"/>
          <w:szCs w:val="24"/>
          <w:highlight w:val="yellow"/>
        </w:rPr>
        <w:t>Savings Incentive Match Plan for Employees that requires employer matching contributions to the plan whenever an employee makes a contribution</w:t>
      </w:r>
      <w:r w:rsidRPr="00304EEF">
        <w:rPr>
          <w:rFonts w:ascii="Times New Roman" w:eastAsia="Times New Roman" w:hAnsi="Times New Roman" w:cs="Times New Roman"/>
          <w:sz w:val="36"/>
          <w:szCs w:val="24"/>
        </w:rPr>
        <w:t xml:space="preserve">. The plan is similar to a </w:t>
      </w:r>
      <w:hyperlink r:id="rId35" w:tooltip="401(k)" w:history="1">
        <w:r w:rsidRPr="00304EEF">
          <w:rPr>
            <w:rFonts w:ascii="Times New Roman" w:eastAsia="Times New Roman" w:hAnsi="Times New Roman" w:cs="Times New Roman"/>
            <w:color w:val="0000FF"/>
            <w:sz w:val="36"/>
            <w:szCs w:val="24"/>
            <w:u w:val="single"/>
          </w:rPr>
          <w:t>401(k)</w:t>
        </w:r>
      </w:hyperlink>
      <w:r w:rsidRPr="00304EEF">
        <w:rPr>
          <w:rFonts w:ascii="Times New Roman" w:eastAsia="Times New Roman" w:hAnsi="Times New Roman" w:cs="Times New Roman"/>
          <w:sz w:val="36"/>
          <w:szCs w:val="24"/>
        </w:rPr>
        <w:t xml:space="preserve"> plan, but with lower contribution limits and simpler (and thus less costly) administration. Although it is termed an IRA, it is treated separately.</w:t>
      </w:r>
    </w:p>
    <w:p w:rsidR="00304EEF" w:rsidRDefault="00304EEF" w:rsidP="00304EEF">
      <w:pPr>
        <w:spacing w:before="100" w:beforeAutospacing="1" w:after="100" w:afterAutospacing="1" w:line="240" w:lineRule="auto"/>
        <w:rPr>
          <w:rFonts w:ascii="Times New Roman" w:eastAsia="Times New Roman" w:hAnsi="Times New Roman" w:cs="Times New Roman"/>
          <w:sz w:val="36"/>
          <w:szCs w:val="24"/>
        </w:rPr>
      </w:pPr>
      <w:r w:rsidRPr="00304EEF">
        <w:rPr>
          <w:rFonts w:ascii="Times New Roman" w:eastAsia="Times New Roman" w:hAnsi="Times New Roman" w:cs="Times New Roman"/>
          <w:sz w:val="36"/>
          <w:szCs w:val="24"/>
          <w:highlight w:val="green"/>
        </w:rPr>
        <w:t>2014 and 2015: the total contributions a person can make to all of their traditional and Roth IRAs cannot be more than the lesser amount of either: $5,500 ($6,500 if you’re age 50 or older), or your earned income for the year.</w:t>
      </w:r>
    </w:p>
    <w:p w:rsidR="00304EEF" w:rsidRPr="00304EEF" w:rsidRDefault="00304EEF" w:rsidP="00304EEF">
      <w:pPr>
        <w:spacing w:before="100" w:beforeAutospacing="1" w:after="100" w:afterAutospacing="1" w:line="240" w:lineRule="auto"/>
        <w:rPr>
          <w:rFonts w:ascii="Times New Roman" w:eastAsia="Times New Roman" w:hAnsi="Times New Roman" w:cs="Times New Roman"/>
          <w:sz w:val="36"/>
          <w:szCs w:val="24"/>
          <w:highlight w:val="green"/>
        </w:rPr>
      </w:pPr>
      <w:r w:rsidRPr="00304EEF">
        <w:rPr>
          <w:rFonts w:ascii="Times New Roman" w:eastAsia="Times New Roman" w:hAnsi="Times New Roman" w:cs="Times New Roman"/>
          <w:sz w:val="36"/>
          <w:szCs w:val="24"/>
          <w:highlight w:val="green"/>
        </w:rPr>
        <w:lastRenderedPageBreak/>
        <w:t xml:space="preserve">Once money is inside an IRA, the IRA owner can direct the custodian to use the cash to purchase most types of publicly traded </w:t>
      </w:r>
      <w:hyperlink r:id="rId36" w:tooltip="Security (finance)" w:history="1">
        <w:r w:rsidRPr="00304EEF">
          <w:rPr>
            <w:rFonts w:ascii="Times New Roman" w:eastAsia="Times New Roman" w:hAnsi="Times New Roman" w:cs="Times New Roman"/>
            <w:sz w:val="36"/>
            <w:szCs w:val="24"/>
            <w:highlight w:val="green"/>
          </w:rPr>
          <w:t>securities</w:t>
        </w:r>
      </w:hyperlink>
      <w:r w:rsidRPr="00304EEF">
        <w:rPr>
          <w:rFonts w:ascii="Times New Roman" w:eastAsia="Times New Roman" w:hAnsi="Times New Roman" w:cs="Times New Roman"/>
          <w:sz w:val="36"/>
          <w:szCs w:val="24"/>
          <w:highlight w:val="green"/>
        </w:rPr>
        <w:t xml:space="preserve"> (traditional investments), and non-publicly traded securities (</w:t>
      </w:r>
      <w:hyperlink r:id="rId37" w:tooltip="Alternative investments" w:history="1">
        <w:r w:rsidRPr="00304EEF">
          <w:rPr>
            <w:rFonts w:ascii="Times New Roman" w:eastAsia="Times New Roman" w:hAnsi="Times New Roman" w:cs="Times New Roman"/>
            <w:sz w:val="36"/>
            <w:szCs w:val="24"/>
            <w:highlight w:val="green"/>
          </w:rPr>
          <w:t>alternative investments</w:t>
        </w:r>
      </w:hyperlink>
      <w:r w:rsidRPr="00304EEF">
        <w:rPr>
          <w:rFonts w:ascii="Times New Roman" w:eastAsia="Times New Roman" w:hAnsi="Times New Roman" w:cs="Times New Roman"/>
          <w:sz w:val="36"/>
          <w:szCs w:val="24"/>
          <w:highlight w:val="green"/>
        </w:rPr>
        <w:t xml:space="preserve">). Specific assets such as collectibles (e.g., art, baseball cards, and rare coins) and </w:t>
      </w:r>
      <w:hyperlink r:id="rId38" w:tooltip="Life insurance" w:history="1">
        <w:r w:rsidRPr="00304EEF">
          <w:rPr>
            <w:rFonts w:ascii="Times New Roman" w:eastAsia="Times New Roman" w:hAnsi="Times New Roman" w:cs="Times New Roman"/>
            <w:sz w:val="36"/>
            <w:szCs w:val="24"/>
            <w:highlight w:val="green"/>
          </w:rPr>
          <w:t>life insurance</w:t>
        </w:r>
      </w:hyperlink>
      <w:r w:rsidRPr="00304EEF">
        <w:rPr>
          <w:rFonts w:ascii="Times New Roman" w:eastAsia="Times New Roman" w:hAnsi="Times New Roman" w:cs="Times New Roman"/>
          <w:sz w:val="36"/>
          <w:szCs w:val="24"/>
          <w:highlight w:val="green"/>
        </w:rPr>
        <w:t xml:space="preserve"> cannot be held in an IRA</w:t>
      </w:r>
    </w:p>
    <w:p w:rsidR="00304EEF" w:rsidRDefault="00304EEF" w:rsidP="00AC652D">
      <w:pPr>
        <w:rPr>
          <w:rFonts w:ascii="Times New Roman" w:eastAsia="Times New Roman" w:hAnsi="Times New Roman" w:cs="Times New Roman"/>
          <w:sz w:val="36"/>
          <w:szCs w:val="24"/>
          <w:highlight w:val="green"/>
        </w:rPr>
      </w:pPr>
      <w:proofErr w:type="gramStart"/>
      <w:r w:rsidRPr="00304EEF">
        <w:rPr>
          <w:rFonts w:ascii="Times New Roman" w:eastAsia="Times New Roman" w:hAnsi="Times New Roman" w:cs="Times New Roman"/>
          <w:sz w:val="36"/>
          <w:szCs w:val="24"/>
          <w:highlight w:val="green"/>
        </w:rPr>
        <w:t>money</w:t>
      </w:r>
      <w:proofErr w:type="gramEnd"/>
      <w:r w:rsidRPr="00304EEF">
        <w:rPr>
          <w:rFonts w:ascii="Times New Roman" w:eastAsia="Times New Roman" w:hAnsi="Times New Roman" w:cs="Times New Roman"/>
          <w:sz w:val="36"/>
          <w:szCs w:val="24"/>
          <w:highlight w:val="green"/>
        </w:rPr>
        <w:t xml:space="preserve"> can typically be withdrawn penalty free as taxable income from an IRA once the owner reaches age 59 1/2. Also, non-Roth owners must begin taking distributions of at least the calculated minimum amounts by April 1 of the year after reaching age 70 </w:t>
      </w:r>
      <w:r w:rsidR="000368B8">
        <w:rPr>
          <w:rFonts w:ascii="Times New Roman" w:eastAsia="Times New Roman" w:hAnsi="Times New Roman" w:cs="Times New Roman"/>
          <w:sz w:val="36"/>
          <w:szCs w:val="24"/>
          <w:highlight w:val="green"/>
        </w:rPr>
        <w:t>½</w:t>
      </w:r>
    </w:p>
    <w:p w:rsidR="000368B8" w:rsidRPr="000368B8" w:rsidRDefault="000368B8" w:rsidP="000368B8">
      <w:pPr>
        <w:spacing w:before="100" w:beforeAutospacing="1" w:after="100" w:afterAutospacing="1" w:line="240" w:lineRule="auto"/>
        <w:rPr>
          <w:rFonts w:ascii="Times New Roman" w:eastAsia="Times New Roman" w:hAnsi="Times New Roman" w:cs="Times New Roman"/>
          <w:sz w:val="28"/>
          <w:szCs w:val="24"/>
        </w:rPr>
      </w:pPr>
      <w:r w:rsidRPr="000368B8">
        <w:rPr>
          <w:rFonts w:ascii="Times New Roman" w:eastAsia="Times New Roman" w:hAnsi="Times New Roman" w:cs="Times New Roman"/>
          <w:sz w:val="28"/>
          <w:szCs w:val="24"/>
        </w:rPr>
        <w:t>There are several exceptions to the rule that penalties apply to distributions before age 59½. This group of penalty exemptions are popularly known as hardship withdrawals. The exceptions include</w:t>
      </w:r>
      <w:proofErr w:type="gramStart"/>
      <w:r w:rsidRPr="000368B8">
        <w:rPr>
          <w:rFonts w:ascii="Times New Roman" w:eastAsia="Times New Roman" w:hAnsi="Times New Roman" w:cs="Times New Roman"/>
          <w:sz w:val="28"/>
          <w:szCs w:val="24"/>
        </w:rPr>
        <w:t>:</w:t>
      </w:r>
      <w:proofErr w:type="gramEnd"/>
      <w:r w:rsidRPr="000368B8">
        <w:rPr>
          <w:rFonts w:ascii="Times New Roman" w:eastAsia="Times New Roman" w:hAnsi="Times New Roman" w:cs="Times New Roman"/>
          <w:sz w:val="28"/>
          <w:szCs w:val="24"/>
          <w:vertAlign w:val="superscript"/>
        </w:rPr>
        <w:fldChar w:fldCharType="begin"/>
      </w:r>
      <w:r w:rsidRPr="000368B8">
        <w:rPr>
          <w:rFonts w:ascii="Times New Roman" w:eastAsia="Times New Roman" w:hAnsi="Times New Roman" w:cs="Times New Roman"/>
          <w:sz w:val="28"/>
          <w:szCs w:val="24"/>
          <w:vertAlign w:val="superscript"/>
        </w:rPr>
        <w:instrText xml:space="preserve"> HYPERLINK "https://en.wikipedia.org/wiki/Individual_retirement_account" \l "cite_note-14" </w:instrText>
      </w:r>
      <w:r w:rsidRPr="000368B8">
        <w:rPr>
          <w:rFonts w:ascii="Times New Roman" w:eastAsia="Times New Roman" w:hAnsi="Times New Roman" w:cs="Times New Roman"/>
          <w:sz w:val="28"/>
          <w:szCs w:val="24"/>
          <w:vertAlign w:val="superscript"/>
        </w:rPr>
        <w:fldChar w:fldCharType="separate"/>
      </w:r>
      <w:r w:rsidRPr="000368B8">
        <w:rPr>
          <w:rFonts w:ascii="Times New Roman" w:eastAsia="Times New Roman" w:hAnsi="Times New Roman" w:cs="Times New Roman"/>
          <w:color w:val="0000FF"/>
          <w:sz w:val="28"/>
          <w:szCs w:val="24"/>
          <w:u w:val="single"/>
          <w:vertAlign w:val="superscript"/>
        </w:rPr>
        <w:t>[14]</w:t>
      </w:r>
      <w:r w:rsidRPr="000368B8">
        <w:rPr>
          <w:rFonts w:ascii="Times New Roman" w:eastAsia="Times New Roman" w:hAnsi="Times New Roman" w:cs="Times New Roman"/>
          <w:sz w:val="28"/>
          <w:szCs w:val="24"/>
          <w:vertAlign w:val="superscript"/>
        </w:rPr>
        <w:fldChar w:fldCharType="end"/>
      </w:r>
    </w:p>
    <w:p w:rsidR="000368B8" w:rsidRPr="000368B8" w:rsidRDefault="000368B8" w:rsidP="000368B8">
      <w:pPr>
        <w:numPr>
          <w:ilvl w:val="0"/>
          <w:numId w:val="11"/>
        </w:numPr>
        <w:spacing w:before="100" w:beforeAutospacing="1" w:after="100" w:afterAutospacing="1" w:line="240" w:lineRule="auto"/>
        <w:rPr>
          <w:rFonts w:ascii="Times New Roman" w:eastAsia="Times New Roman" w:hAnsi="Times New Roman" w:cs="Times New Roman"/>
          <w:sz w:val="28"/>
          <w:szCs w:val="24"/>
        </w:rPr>
      </w:pPr>
      <w:r w:rsidRPr="000368B8">
        <w:rPr>
          <w:rFonts w:ascii="Times New Roman" w:eastAsia="Times New Roman" w:hAnsi="Times New Roman" w:cs="Times New Roman"/>
          <w:sz w:val="28"/>
          <w:szCs w:val="24"/>
        </w:rPr>
        <w:t>The portion of unreimbursed medical expenses that are more than 7.5% of adjusted gross income</w:t>
      </w:r>
    </w:p>
    <w:p w:rsidR="000368B8" w:rsidRPr="000368B8" w:rsidRDefault="000368B8" w:rsidP="000368B8">
      <w:pPr>
        <w:numPr>
          <w:ilvl w:val="0"/>
          <w:numId w:val="11"/>
        </w:numPr>
        <w:spacing w:before="100" w:beforeAutospacing="1" w:after="100" w:afterAutospacing="1" w:line="240" w:lineRule="auto"/>
        <w:rPr>
          <w:rFonts w:ascii="Times New Roman" w:eastAsia="Times New Roman" w:hAnsi="Times New Roman" w:cs="Times New Roman"/>
          <w:sz w:val="28"/>
          <w:szCs w:val="24"/>
        </w:rPr>
      </w:pPr>
      <w:r w:rsidRPr="000368B8">
        <w:rPr>
          <w:rFonts w:ascii="Times New Roman" w:eastAsia="Times New Roman" w:hAnsi="Times New Roman" w:cs="Times New Roman"/>
          <w:sz w:val="28"/>
          <w:szCs w:val="24"/>
        </w:rPr>
        <w:t>Distributions that are not more than the cost of medical insurance while unemployed</w:t>
      </w:r>
    </w:p>
    <w:p w:rsidR="000368B8" w:rsidRPr="000368B8" w:rsidRDefault="000368B8" w:rsidP="000368B8">
      <w:pPr>
        <w:numPr>
          <w:ilvl w:val="0"/>
          <w:numId w:val="11"/>
        </w:numPr>
        <w:spacing w:before="100" w:beforeAutospacing="1" w:after="100" w:afterAutospacing="1" w:line="240" w:lineRule="auto"/>
        <w:rPr>
          <w:rFonts w:ascii="Times New Roman" w:eastAsia="Times New Roman" w:hAnsi="Times New Roman" w:cs="Times New Roman"/>
          <w:sz w:val="28"/>
          <w:szCs w:val="24"/>
        </w:rPr>
      </w:pPr>
      <w:r w:rsidRPr="000368B8">
        <w:rPr>
          <w:rFonts w:ascii="Times New Roman" w:eastAsia="Times New Roman" w:hAnsi="Times New Roman" w:cs="Times New Roman"/>
          <w:sz w:val="28"/>
          <w:szCs w:val="24"/>
        </w:rPr>
        <w:t>Disability (defined as not being able to engage in any substantial gainful activity)</w:t>
      </w:r>
    </w:p>
    <w:p w:rsidR="000368B8" w:rsidRPr="000368B8" w:rsidRDefault="000368B8" w:rsidP="000368B8">
      <w:pPr>
        <w:numPr>
          <w:ilvl w:val="0"/>
          <w:numId w:val="11"/>
        </w:numPr>
        <w:spacing w:before="100" w:beforeAutospacing="1" w:after="100" w:afterAutospacing="1" w:line="240" w:lineRule="auto"/>
        <w:rPr>
          <w:rFonts w:ascii="Times New Roman" w:eastAsia="Times New Roman" w:hAnsi="Times New Roman" w:cs="Times New Roman"/>
          <w:sz w:val="28"/>
          <w:szCs w:val="24"/>
        </w:rPr>
      </w:pPr>
      <w:r w:rsidRPr="000368B8">
        <w:rPr>
          <w:rFonts w:ascii="Times New Roman" w:eastAsia="Times New Roman" w:hAnsi="Times New Roman" w:cs="Times New Roman"/>
          <w:sz w:val="28"/>
          <w:szCs w:val="24"/>
        </w:rPr>
        <w:t>Amounts distributed to beneficiaries of a deceased IRA owner</w:t>
      </w:r>
    </w:p>
    <w:p w:rsidR="000368B8" w:rsidRPr="000368B8" w:rsidRDefault="000368B8" w:rsidP="000368B8">
      <w:pPr>
        <w:numPr>
          <w:ilvl w:val="0"/>
          <w:numId w:val="11"/>
        </w:numPr>
        <w:spacing w:before="100" w:beforeAutospacing="1" w:after="100" w:afterAutospacing="1" w:line="240" w:lineRule="auto"/>
        <w:rPr>
          <w:rFonts w:ascii="Times New Roman" w:eastAsia="Times New Roman" w:hAnsi="Times New Roman" w:cs="Times New Roman"/>
          <w:sz w:val="28"/>
          <w:szCs w:val="24"/>
        </w:rPr>
      </w:pPr>
      <w:r w:rsidRPr="000368B8">
        <w:rPr>
          <w:rFonts w:ascii="Times New Roman" w:eastAsia="Times New Roman" w:hAnsi="Times New Roman" w:cs="Times New Roman"/>
          <w:sz w:val="28"/>
          <w:szCs w:val="24"/>
        </w:rPr>
        <w:t xml:space="preserve">Distributions in the form of an annuity (see </w:t>
      </w:r>
      <w:hyperlink r:id="rId39" w:tooltip="Substantially equal periodic payments" w:history="1">
        <w:r w:rsidRPr="000368B8">
          <w:rPr>
            <w:rFonts w:ascii="Times New Roman" w:eastAsia="Times New Roman" w:hAnsi="Times New Roman" w:cs="Times New Roman"/>
            <w:color w:val="0000FF"/>
            <w:sz w:val="28"/>
            <w:szCs w:val="24"/>
            <w:u w:val="single"/>
          </w:rPr>
          <w:t>substantially equal periodic payments</w:t>
        </w:r>
      </w:hyperlink>
      <w:r w:rsidRPr="000368B8">
        <w:rPr>
          <w:rFonts w:ascii="Times New Roman" w:eastAsia="Times New Roman" w:hAnsi="Times New Roman" w:cs="Times New Roman"/>
          <w:sz w:val="28"/>
          <w:szCs w:val="24"/>
        </w:rPr>
        <w:t>)</w:t>
      </w:r>
    </w:p>
    <w:p w:rsidR="000368B8" w:rsidRPr="000368B8" w:rsidRDefault="000368B8" w:rsidP="000368B8">
      <w:pPr>
        <w:numPr>
          <w:ilvl w:val="0"/>
          <w:numId w:val="11"/>
        </w:numPr>
        <w:spacing w:before="100" w:beforeAutospacing="1" w:after="100" w:afterAutospacing="1" w:line="240" w:lineRule="auto"/>
        <w:rPr>
          <w:rFonts w:ascii="Times New Roman" w:eastAsia="Times New Roman" w:hAnsi="Times New Roman" w:cs="Times New Roman"/>
          <w:sz w:val="28"/>
          <w:szCs w:val="24"/>
        </w:rPr>
      </w:pPr>
      <w:r w:rsidRPr="000368B8">
        <w:rPr>
          <w:rFonts w:ascii="Times New Roman" w:eastAsia="Times New Roman" w:hAnsi="Times New Roman" w:cs="Times New Roman"/>
          <w:sz w:val="28"/>
          <w:szCs w:val="24"/>
        </w:rPr>
        <w:t>Distributions that are not more than the qualified higher education expenses of the owner or their children or grandchildren</w:t>
      </w:r>
    </w:p>
    <w:p w:rsidR="000368B8" w:rsidRPr="000368B8" w:rsidRDefault="000368B8" w:rsidP="000368B8">
      <w:pPr>
        <w:numPr>
          <w:ilvl w:val="0"/>
          <w:numId w:val="11"/>
        </w:numPr>
        <w:spacing w:before="100" w:beforeAutospacing="1" w:after="100" w:afterAutospacing="1" w:line="240" w:lineRule="auto"/>
        <w:rPr>
          <w:rFonts w:ascii="Times New Roman" w:eastAsia="Times New Roman" w:hAnsi="Times New Roman" w:cs="Times New Roman"/>
          <w:sz w:val="28"/>
          <w:szCs w:val="24"/>
        </w:rPr>
      </w:pPr>
      <w:r w:rsidRPr="000368B8">
        <w:rPr>
          <w:rFonts w:ascii="Times New Roman" w:eastAsia="Times New Roman" w:hAnsi="Times New Roman" w:cs="Times New Roman"/>
          <w:sz w:val="28"/>
          <w:szCs w:val="24"/>
        </w:rPr>
        <w:t>Distributions to buy, build, or rebuild a first home ($10,000 lifetime maximum)</w:t>
      </w:r>
    </w:p>
    <w:p w:rsidR="000368B8" w:rsidRDefault="000368B8" w:rsidP="000368B8">
      <w:pPr>
        <w:numPr>
          <w:ilvl w:val="0"/>
          <w:numId w:val="11"/>
        </w:numPr>
        <w:spacing w:before="100" w:beforeAutospacing="1" w:after="100" w:afterAutospacing="1" w:line="240" w:lineRule="auto"/>
        <w:rPr>
          <w:rFonts w:ascii="Times New Roman" w:eastAsia="Times New Roman" w:hAnsi="Times New Roman" w:cs="Times New Roman"/>
          <w:sz w:val="28"/>
          <w:szCs w:val="24"/>
        </w:rPr>
      </w:pPr>
      <w:r w:rsidRPr="000368B8">
        <w:rPr>
          <w:rFonts w:ascii="Times New Roman" w:eastAsia="Times New Roman" w:hAnsi="Times New Roman" w:cs="Times New Roman"/>
          <w:sz w:val="28"/>
          <w:szCs w:val="24"/>
        </w:rPr>
        <w:t>Distribution due to an IRS levy of the plan</w:t>
      </w:r>
    </w:p>
    <w:p w:rsidR="000368B8" w:rsidRDefault="000368B8" w:rsidP="000368B8">
      <w:pPr>
        <w:spacing w:before="100" w:beforeAutospacing="1" w:after="100" w:afterAutospacing="1" w:line="240" w:lineRule="auto"/>
        <w:ind w:left="360"/>
        <w:outlineLvl w:val="0"/>
        <w:rPr>
          <w:rFonts w:ascii="Times New Roman" w:eastAsia="Times New Roman" w:hAnsi="Times New Roman" w:cs="Times New Roman"/>
          <w:b/>
          <w:bCs/>
          <w:kern w:val="36"/>
          <w:sz w:val="48"/>
          <w:szCs w:val="48"/>
          <w:lang w:val="en"/>
        </w:rPr>
      </w:pPr>
    </w:p>
    <w:p w:rsidR="000368B8" w:rsidRDefault="000368B8">
      <w:pPr>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kern w:val="36"/>
          <w:sz w:val="48"/>
          <w:szCs w:val="48"/>
          <w:lang w:val="en"/>
        </w:rPr>
        <w:br w:type="page"/>
      </w:r>
    </w:p>
    <w:p w:rsidR="000368B8" w:rsidRPr="000368B8" w:rsidRDefault="000368B8" w:rsidP="000368B8">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0368B8">
        <w:rPr>
          <w:rFonts w:ascii="Times New Roman" w:eastAsia="Times New Roman" w:hAnsi="Times New Roman" w:cs="Times New Roman"/>
          <w:sz w:val="36"/>
          <w:szCs w:val="24"/>
        </w:rPr>
        <w:lastRenderedPageBreak/>
        <w:drawing>
          <wp:anchor distT="0" distB="0" distL="114300" distR="114300" simplePos="0" relativeHeight="251658240" behindDoc="1" locked="0" layoutInCell="1" allowOverlap="1" wp14:anchorId="25FD475F" wp14:editId="00A7CDF3">
            <wp:simplePos x="0" y="0"/>
            <wp:positionH relativeFrom="column">
              <wp:posOffset>3581400</wp:posOffset>
            </wp:positionH>
            <wp:positionV relativeFrom="paragraph">
              <wp:posOffset>342900</wp:posOffset>
            </wp:positionV>
            <wp:extent cx="2095500" cy="2724150"/>
            <wp:effectExtent l="152400" t="152400" r="361950" b="361950"/>
            <wp:wrapTight wrapText="bothSides">
              <wp:wrapPolygon edited="0">
                <wp:start x="785" y="-1208"/>
                <wp:lineTo x="-1571" y="-906"/>
                <wp:lineTo x="-1571" y="22204"/>
                <wp:lineTo x="-785" y="23262"/>
                <wp:lineTo x="1178" y="24017"/>
                <wp:lineTo x="1375" y="24319"/>
                <wp:lineTo x="22189" y="24319"/>
                <wp:lineTo x="22385" y="24017"/>
                <wp:lineTo x="24153" y="23262"/>
                <wp:lineTo x="25135" y="20996"/>
                <wp:lineTo x="25135" y="1510"/>
                <wp:lineTo x="22778" y="-755"/>
                <wp:lineTo x="22582" y="-1208"/>
                <wp:lineTo x="785" y="-1208"/>
              </wp:wrapPolygon>
            </wp:wrapTight>
            <wp:docPr id="3" name="Picture 3" descr="https://upload.wikimedia.org/wikipedia/commons/thumb/b/b1/Eugene_J._Keogh.jpg/220px-Eugene_J._Keogh.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b/b1/Eugene_J._Keogh.jpg/220px-Eugene_J._Keogh.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95500" cy="27241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0368B8">
        <w:rPr>
          <w:rFonts w:ascii="Times New Roman" w:eastAsia="Times New Roman" w:hAnsi="Times New Roman" w:cs="Times New Roman"/>
          <w:b/>
          <w:bCs/>
          <w:kern w:val="36"/>
          <w:sz w:val="48"/>
          <w:szCs w:val="48"/>
          <w:lang w:val="en"/>
        </w:rPr>
        <w:t xml:space="preserve">Keogh </w:t>
      </w:r>
      <w:proofErr w:type="gramStart"/>
      <w:r w:rsidRPr="000368B8">
        <w:rPr>
          <w:rFonts w:ascii="Times New Roman" w:eastAsia="Times New Roman" w:hAnsi="Times New Roman" w:cs="Times New Roman"/>
          <w:b/>
          <w:bCs/>
          <w:kern w:val="36"/>
          <w:sz w:val="48"/>
          <w:szCs w:val="48"/>
          <w:lang w:val="en"/>
        </w:rPr>
        <w:t>Plan</w:t>
      </w:r>
      <w:proofErr w:type="gramEnd"/>
    </w:p>
    <w:p w:rsidR="000368B8" w:rsidRPr="000368B8" w:rsidRDefault="000368B8" w:rsidP="000368B8">
      <w:pPr>
        <w:pStyle w:val="ListParagraph"/>
        <w:numPr>
          <w:ilvl w:val="0"/>
          <w:numId w:val="11"/>
        </w:numPr>
        <w:spacing w:after="0" w:line="240" w:lineRule="auto"/>
        <w:rPr>
          <w:rFonts w:ascii="Times New Roman" w:eastAsia="Times New Roman" w:hAnsi="Times New Roman" w:cs="Times New Roman"/>
          <w:sz w:val="36"/>
          <w:szCs w:val="24"/>
        </w:rPr>
      </w:pPr>
      <w:r w:rsidRPr="000368B8">
        <w:rPr>
          <w:rFonts w:ascii="Times New Roman" w:eastAsia="Times New Roman" w:hAnsi="Times New Roman" w:cs="Times New Roman"/>
          <w:sz w:val="36"/>
          <w:szCs w:val="24"/>
        </w:rPr>
        <w:t>From Wikipedia, the free encyclopedia</w:t>
      </w:r>
    </w:p>
    <w:p w:rsidR="000368B8" w:rsidRPr="000368B8" w:rsidRDefault="000368B8" w:rsidP="000368B8">
      <w:pPr>
        <w:spacing w:after="0" w:line="240" w:lineRule="auto"/>
        <w:ind w:left="360"/>
        <w:rPr>
          <w:rFonts w:ascii="Times New Roman" w:eastAsia="Times New Roman" w:hAnsi="Times New Roman" w:cs="Times New Roman"/>
          <w:sz w:val="36"/>
          <w:szCs w:val="24"/>
        </w:rPr>
      </w:pPr>
    </w:p>
    <w:p w:rsidR="000368B8" w:rsidRPr="000368B8" w:rsidRDefault="000368B8" w:rsidP="000368B8">
      <w:pPr>
        <w:pStyle w:val="ListParagraph"/>
        <w:numPr>
          <w:ilvl w:val="0"/>
          <w:numId w:val="11"/>
        </w:numPr>
        <w:spacing w:after="0" w:line="240" w:lineRule="auto"/>
        <w:rPr>
          <w:rFonts w:ascii="Times New Roman" w:eastAsia="Times New Roman" w:hAnsi="Times New Roman" w:cs="Times New Roman"/>
          <w:sz w:val="36"/>
          <w:szCs w:val="24"/>
        </w:rPr>
      </w:pPr>
      <w:r w:rsidRPr="000368B8">
        <w:rPr>
          <w:rFonts w:ascii="Times New Roman" w:eastAsia="Times New Roman" w:hAnsi="Times New Roman" w:cs="Times New Roman"/>
          <w:sz w:val="36"/>
          <w:szCs w:val="24"/>
        </w:rPr>
        <w:t>Eugene J. Keogh, Congressman from New York.</w:t>
      </w:r>
    </w:p>
    <w:p w:rsidR="000368B8" w:rsidRPr="000368B8" w:rsidRDefault="000368B8" w:rsidP="000368B8">
      <w:pPr>
        <w:pStyle w:val="ListParagraph"/>
        <w:numPr>
          <w:ilvl w:val="0"/>
          <w:numId w:val="11"/>
        </w:numPr>
        <w:spacing w:before="100" w:beforeAutospacing="1" w:after="100" w:afterAutospacing="1" w:line="240" w:lineRule="auto"/>
        <w:rPr>
          <w:rFonts w:ascii="Times New Roman" w:eastAsia="Times New Roman" w:hAnsi="Times New Roman" w:cs="Times New Roman"/>
          <w:sz w:val="36"/>
          <w:szCs w:val="24"/>
          <w:highlight w:val="yellow"/>
        </w:rPr>
      </w:pPr>
      <w:r w:rsidRPr="000368B8">
        <w:rPr>
          <w:rFonts w:ascii="Times New Roman" w:eastAsia="Times New Roman" w:hAnsi="Times New Roman" w:cs="Times New Roman"/>
          <w:sz w:val="36"/>
          <w:szCs w:val="24"/>
          <w:highlight w:val="yellow"/>
        </w:rPr>
        <w:t xml:space="preserve">Keogh plans are a type of retirement plan for </w:t>
      </w:r>
      <w:hyperlink r:id="rId42" w:tooltip="Self-employment" w:history="1">
        <w:r w:rsidRPr="000368B8">
          <w:rPr>
            <w:rFonts w:ascii="Times New Roman" w:eastAsia="Times New Roman" w:hAnsi="Times New Roman" w:cs="Times New Roman"/>
            <w:sz w:val="36"/>
            <w:szCs w:val="24"/>
            <w:highlight w:val="yellow"/>
          </w:rPr>
          <w:t>self-employed people</w:t>
        </w:r>
      </w:hyperlink>
      <w:r w:rsidRPr="000368B8">
        <w:rPr>
          <w:rFonts w:ascii="Times New Roman" w:eastAsia="Times New Roman" w:hAnsi="Times New Roman" w:cs="Times New Roman"/>
          <w:sz w:val="36"/>
          <w:szCs w:val="24"/>
          <w:highlight w:val="yellow"/>
        </w:rPr>
        <w:t xml:space="preserve"> and </w:t>
      </w:r>
      <w:hyperlink r:id="rId43" w:tooltip="Small businesses" w:history="1">
        <w:r w:rsidRPr="000368B8">
          <w:rPr>
            <w:rFonts w:ascii="Times New Roman" w:eastAsia="Times New Roman" w:hAnsi="Times New Roman" w:cs="Times New Roman"/>
            <w:sz w:val="36"/>
            <w:szCs w:val="24"/>
            <w:highlight w:val="yellow"/>
          </w:rPr>
          <w:t>small businesses</w:t>
        </w:r>
      </w:hyperlink>
      <w:r w:rsidRPr="000368B8">
        <w:rPr>
          <w:rFonts w:ascii="Times New Roman" w:eastAsia="Times New Roman" w:hAnsi="Times New Roman" w:cs="Times New Roman"/>
          <w:sz w:val="36"/>
          <w:szCs w:val="24"/>
          <w:highlight w:val="yellow"/>
        </w:rPr>
        <w:t xml:space="preserve"> in the United States.</w:t>
      </w:r>
    </w:p>
    <w:p w:rsidR="000368B8" w:rsidRPr="000368B8" w:rsidRDefault="000368B8" w:rsidP="000368B8">
      <w:pPr>
        <w:pStyle w:val="NormalWeb"/>
        <w:numPr>
          <w:ilvl w:val="0"/>
          <w:numId w:val="11"/>
        </w:numPr>
        <w:rPr>
          <w:sz w:val="36"/>
        </w:rPr>
      </w:pPr>
      <w:r w:rsidRPr="000368B8">
        <w:rPr>
          <w:sz w:val="36"/>
        </w:rPr>
        <w:t xml:space="preserve">There are 2 basic types of Keogh </w:t>
      </w:r>
      <w:proofErr w:type="gramStart"/>
      <w:r w:rsidRPr="000368B8">
        <w:rPr>
          <w:sz w:val="36"/>
        </w:rPr>
        <w:t>Plan</w:t>
      </w:r>
      <w:proofErr w:type="gramEnd"/>
      <w:r w:rsidRPr="000368B8">
        <w:rPr>
          <w:sz w:val="36"/>
        </w:rPr>
        <w:t xml:space="preserve">: </w:t>
      </w:r>
      <w:r w:rsidRPr="000368B8">
        <w:rPr>
          <w:sz w:val="36"/>
          <w:highlight w:val="yellow"/>
        </w:rPr>
        <w:t>defined-benefit, and defined-contribution</w:t>
      </w:r>
      <w:r w:rsidRPr="000368B8">
        <w:rPr>
          <w:sz w:val="36"/>
        </w:rPr>
        <w:t>.</w:t>
      </w:r>
    </w:p>
    <w:p w:rsidR="000368B8" w:rsidRPr="000368B8" w:rsidRDefault="000368B8" w:rsidP="000368B8">
      <w:pPr>
        <w:pStyle w:val="NormalWeb"/>
        <w:numPr>
          <w:ilvl w:val="0"/>
          <w:numId w:val="11"/>
        </w:numPr>
        <w:rPr>
          <w:sz w:val="36"/>
        </w:rPr>
      </w:pPr>
      <w:r w:rsidRPr="000368B8">
        <w:rPr>
          <w:sz w:val="36"/>
        </w:rPr>
        <w:t xml:space="preserve">In a defined-contribution plan, </w:t>
      </w:r>
      <w:r w:rsidRPr="000368B8">
        <w:rPr>
          <w:sz w:val="36"/>
          <w:highlight w:val="yellow"/>
        </w:rPr>
        <w:t>a fixed contribution</w:t>
      </w:r>
      <w:r w:rsidRPr="000368B8">
        <w:rPr>
          <w:sz w:val="36"/>
        </w:rPr>
        <w:t xml:space="preserve"> (percentage of total paycheck or a fixed sum) is made per pay period. It may be set up as a profit-sharing plan, where the pension that one can withdraw after retirement depends on how much they invested in the plan while they worked.</w:t>
      </w:r>
    </w:p>
    <w:p w:rsidR="000368B8" w:rsidRPr="000368B8" w:rsidRDefault="000368B8" w:rsidP="000368B8">
      <w:pPr>
        <w:pStyle w:val="NormalWeb"/>
        <w:numPr>
          <w:ilvl w:val="0"/>
          <w:numId w:val="11"/>
        </w:numPr>
        <w:rPr>
          <w:sz w:val="36"/>
        </w:rPr>
      </w:pPr>
      <w:r w:rsidRPr="000368B8">
        <w:rPr>
          <w:sz w:val="36"/>
        </w:rPr>
        <w:t xml:space="preserve">The </w:t>
      </w:r>
      <w:r w:rsidRPr="000368B8">
        <w:rPr>
          <w:sz w:val="36"/>
          <w:highlight w:val="yellow"/>
        </w:rPr>
        <w:t>defined-benefits plan is more complex</w:t>
      </w:r>
      <w:r w:rsidRPr="000368B8">
        <w:rPr>
          <w:sz w:val="36"/>
        </w:rPr>
        <w:t>. It relies on an IRS formula to calculate the rate of contributions.</w:t>
      </w:r>
    </w:p>
    <w:p w:rsidR="000368B8" w:rsidRPr="000368B8" w:rsidRDefault="000368B8" w:rsidP="000368B8">
      <w:pPr>
        <w:pStyle w:val="NormalWeb"/>
        <w:numPr>
          <w:ilvl w:val="0"/>
          <w:numId w:val="11"/>
        </w:numPr>
        <w:rPr>
          <w:sz w:val="36"/>
        </w:rPr>
      </w:pPr>
      <w:r w:rsidRPr="000368B8">
        <w:rPr>
          <w:sz w:val="36"/>
          <w:highlight w:val="yellow"/>
        </w:rPr>
        <w:t xml:space="preserve">In either case, as in other retirement plans, the funds in the plan can be invested in </w:t>
      </w:r>
      <w:hyperlink r:id="rId44" w:tooltip="Stocks" w:history="1">
        <w:r w:rsidRPr="000368B8">
          <w:rPr>
            <w:rStyle w:val="Hyperlink"/>
            <w:sz w:val="36"/>
            <w:highlight w:val="yellow"/>
          </w:rPr>
          <w:t>stocks</w:t>
        </w:r>
      </w:hyperlink>
      <w:r w:rsidRPr="000368B8">
        <w:rPr>
          <w:sz w:val="36"/>
          <w:highlight w:val="yellow"/>
        </w:rPr>
        <w:t xml:space="preserve">, </w:t>
      </w:r>
      <w:hyperlink r:id="rId45" w:tooltip="Bond (finance)" w:history="1">
        <w:r w:rsidRPr="000368B8">
          <w:rPr>
            <w:rStyle w:val="Hyperlink"/>
            <w:sz w:val="36"/>
            <w:highlight w:val="yellow"/>
          </w:rPr>
          <w:t>bonds</w:t>
        </w:r>
      </w:hyperlink>
      <w:r w:rsidRPr="000368B8">
        <w:rPr>
          <w:sz w:val="36"/>
          <w:highlight w:val="yellow"/>
        </w:rPr>
        <w:t xml:space="preserve">, </w:t>
      </w:r>
      <w:hyperlink r:id="rId46" w:tooltip="Mutual funds" w:history="1">
        <w:r w:rsidRPr="000368B8">
          <w:rPr>
            <w:rStyle w:val="Hyperlink"/>
            <w:sz w:val="36"/>
            <w:highlight w:val="yellow"/>
          </w:rPr>
          <w:t>mutual funds</w:t>
        </w:r>
      </w:hyperlink>
      <w:r w:rsidRPr="000368B8">
        <w:rPr>
          <w:sz w:val="36"/>
        </w:rPr>
        <w:t>, etc.</w:t>
      </w:r>
    </w:p>
    <w:p w:rsidR="000368B8" w:rsidRPr="000368B8" w:rsidRDefault="000368B8" w:rsidP="000368B8">
      <w:pPr>
        <w:spacing w:before="100" w:beforeAutospacing="1" w:after="100" w:afterAutospacing="1" w:line="240" w:lineRule="auto"/>
        <w:rPr>
          <w:rFonts w:ascii="Times New Roman" w:eastAsia="Times New Roman" w:hAnsi="Times New Roman" w:cs="Times New Roman"/>
          <w:sz w:val="28"/>
          <w:szCs w:val="24"/>
        </w:rPr>
      </w:pPr>
    </w:p>
    <w:p w:rsidR="000368B8" w:rsidRPr="000368B8" w:rsidRDefault="000368B8" w:rsidP="000368B8">
      <w:pPr>
        <w:pStyle w:val="NormalWeb"/>
        <w:rPr>
          <w:sz w:val="36"/>
          <w:lang w:val="en"/>
        </w:rPr>
      </w:pPr>
      <w:r w:rsidRPr="000368B8">
        <w:rPr>
          <w:sz w:val="36"/>
          <w:lang w:val="en"/>
        </w:rPr>
        <w:t>For 2011, employees can generally contribute up to $</w:t>
      </w:r>
      <w:r w:rsidRPr="000368B8">
        <w:rPr>
          <w:sz w:val="36"/>
          <w:highlight w:val="yellow"/>
          <w:lang w:val="en"/>
        </w:rPr>
        <w:t>16,500 per year, and the employer can contribute up to $32,500, for a total annual contribution of $49,000</w:t>
      </w:r>
      <w:r w:rsidRPr="000368B8">
        <w:rPr>
          <w:sz w:val="36"/>
          <w:lang w:val="en"/>
        </w:rPr>
        <w:t>.</w:t>
      </w:r>
      <w:hyperlink r:id="rId47" w:anchor="cite_note-1" w:history="1">
        <w:r w:rsidRPr="000368B8">
          <w:rPr>
            <w:sz w:val="36"/>
            <w:lang w:val="en"/>
          </w:rPr>
          <w:t>[1]</w:t>
        </w:r>
      </w:hyperlink>
      <w:r w:rsidRPr="000368B8">
        <w:rPr>
          <w:sz w:val="36"/>
          <w:lang w:val="en"/>
        </w:rPr>
        <w:t xml:space="preserve"> The total contribution cap is $50,000 for 2012, $51,000 for 2013, $52,000 for 2014.</w:t>
      </w:r>
    </w:p>
    <w:p w:rsidR="000368B8" w:rsidRPr="000368B8" w:rsidRDefault="000368B8" w:rsidP="000368B8">
      <w:pPr>
        <w:pStyle w:val="NormalWeb"/>
        <w:rPr>
          <w:sz w:val="36"/>
          <w:lang w:val="en"/>
        </w:rPr>
      </w:pPr>
      <w:r w:rsidRPr="000368B8">
        <w:rPr>
          <w:sz w:val="36"/>
          <w:highlight w:val="yellow"/>
          <w:lang w:val="en"/>
        </w:rPr>
        <w:t xml:space="preserve">A person with a Keogh </w:t>
      </w:r>
      <w:proofErr w:type="gramStart"/>
      <w:r w:rsidRPr="000368B8">
        <w:rPr>
          <w:sz w:val="36"/>
          <w:highlight w:val="yellow"/>
          <w:lang w:val="en"/>
        </w:rPr>
        <w:t>Plan</w:t>
      </w:r>
      <w:proofErr w:type="gramEnd"/>
      <w:r w:rsidRPr="000368B8">
        <w:rPr>
          <w:sz w:val="36"/>
          <w:highlight w:val="yellow"/>
          <w:lang w:val="en"/>
        </w:rPr>
        <w:t xml:space="preserve"> can also contribute to an IRA (traditional or </w:t>
      </w:r>
      <w:hyperlink r:id="rId48" w:tooltip="Roth IRA" w:history="1">
        <w:r w:rsidRPr="000368B8">
          <w:rPr>
            <w:sz w:val="36"/>
            <w:highlight w:val="yellow"/>
            <w:lang w:val="en"/>
          </w:rPr>
          <w:t>Roth</w:t>
        </w:r>
      </w:hyperlink>
      <w:r w:rsidRPr="000368B8">
        <w:rPr>
          <w:sz w:val="36"/>
          <w:highlight w:val="yellow"/>
          <w:lang w:val="en"/>
        </w:rPr>
        <w:t>).</w:t>
      </w:r>
    </w:p>
    <w:p w:rsidR="000368B8" w:rsidRDefault="000368B8" w:rsidP="00AC652D">
      <w:pPr>
        <w:rPr>
          <w:rFonts w:ascii="Times New Roman" w:eastAsia="Times New Roman" w:hAnsi="Times New Roman" w:cs="Times New Roman"/>
          <w:sz w:val="36"/>
          <w:szCs w:val="24"/>
          <w:highlight w:val="green"/>
          <w:lang w:val="en"/>
        </w:rPr>
      </w:pPr>
      <w:r w:rsidRPr="000368B8">
        <w:rPr>
          <w:rFonts w:ascii="Times New Roman" w:eastAsia="Times New Roman" w:hAnsi="Times New Roman" w:cs="Times New Roman"/>
          <w:sz w:val="36"/>
          <w:szCs w:val="24"/>
          <w:highlight w:val="green"/>
          <w:lang w:val="en"/>
        </w:rPr>
        <w:lastRenderedPageBreak/>
        <w:t>Keogh Plans are applicable to self-employed individuals who own their own unincorporated business (sole proprietorships, partnerships &amp; LLC.)</w:t>
      </w:r>
      <w:r w:rsidRPr="000368B8">
        <w:rPr>
          <w:rFonts w:ascii="Times New Roman" w:eastAsia="Times New Roman" w:hAnsi="Times New Roman" w:cs="Times New Roman"/>
          <w:sz w:val="36"/>
          <w:szCs w:val="24"/>
          <w:highlight w:val="green"/>
          <w:lang w:val="en"/>
        </w:rPr>
        <w:t xml:space="preserve">. </w:t>
      </w:r>
      <w:r w:rsidRPr="000368B8">
        <w:rPr>
          <w:rFonts w:ascii="Times New Roman" w:eastAsia="Times New Roman" w:hAnsi="Times New Roman" w:cs="Times New Roman"/>
          <w:sz w:val="36"/>
          <w:szCs w:val="24"/>
          <w:highlight w:val="green"/>
          <w:lang w:val="en"/>
        </w:rPr>
        <w:t>Keogh Plans cannot be used for “self-employed” individuals who work in the capacity of an independent contractor.</w:t>
      </w:r>
      <w:r w:rsidRPr="000368B8">
        <w:rPr>
          <w:rFonts w:ascii="Times New Roman" w:eastAsia="Times New Roman" w:hAnsi="Times New Roman" w:cs="Times New Roman"/>
          <w:sz w:val="36"/>
          <w:szCs w:val="24"/>
          <w:highlight w:val="green"/>
          <w:lang w:val="en"/>
        </w:rPr>
        <w:t xml:space="preserve"> </w:t>
      </w:r>
    </w:p>
    <w:p w:rsidR="000368B8" w:rsidRPr="000368B8" w:rsidRDefault="000368B8" w:rsidP="00AC652D">
      <w:pPr>
        <w:rPr>
          <w:rFonts w:ascii="Times New Roman" w:eastAsia="Times New Roman" w:hAnsi="Times New Roman" w:cs="Times New Roman"/>
          <w:sz w:val="36"/>
          <w:szCs w:val="24"/>
          <w:lang w:val="en"/>
        </w:rPr>
      </w:pPr>
      <w:bookmarkStart w:id="0" w:name="_GoBack"/>
      <w:bookmarkEnd w:id="0"/>
      <w:r w:rsidRPr="000368B8">
        <w:rPr>
          <w:rFonts w:ascii="Times New Roman" w:eastAsia="Times New Roman" w:hAnsi="Times New Roman" w:cs="Times New Roman"/>
          <w:sz w:val="36"/>
          <w:szCs w:val="24"/>
          <w:highlight w:val="green"/>
          <w:lang w:val="en"/>
        </w:rPr>
        <w:t xml:space="preserve">The main benefit of a Keogh Plan vs. other plans (Keogh’s high contribution limit) is lost in individuals who do not make a high level of income. These individuals may get the same benefits of a Keogh </w:t>
      </w:r>
      <w:proofErr w:type="gramStart"/>
      <w:r w:rsidRPr="000368B8">
        <w:rPr>
          <w:rFonts w:ascii="Times New Roman" w:eastAsia="Times New Roman" w:hAnsi="Times New Roman" w:cs="Times New Roman"/>
          <w:sz w:val="36"/>
          <w:szCs w:val="24"/>
          <w:highlight w:val="green"/>
          <w:lang w:val="en"/>
        </w:rPr>
        <w:t>Plan</w:t>
      </w:r>
      <w:proofErr w:type="gramEnd"/>
      <w:r w:rsidRPr="000368B8">
        <w:rPr>
          <w:rFonts w:ascii="Times New Roman" w:eastAsia="Times New Roman" w:hAnsi="Times New Roman" w:cs="Times New Roman"/>
          <w:sz w:val="36"/>
          <w:szCs w:val="24"/>
          <w:highlight w:val="green"/>
          <w:lang w:val="en"/>
        </w:rPr>
        <w:t xml:space="preserve"> with less administrative cost by using another type of retirement plan (</w:t>
      </w:r>
      <w:hyperlink r:id="rId49" w:tooltip="401k" w:history="1">
        <w:r w:rsidRPr="000368B8">
          <w:rPr>
            <w:rFonts w:ascii="Times New Roman" w:eastAsia="Times New Roman" w:hAnsi="Times New Roman" w:cs="Times New Roman"/>
            <w:sz w:val="36"/>
            <w:szCs w:val="24"/>
            <w:highlight w:val="green"/>
            <w:lang w:val="en"/>
          </w:rPr>
          <w:t>401k</w:t>
        </w:r>
      </w:hyperlink>
      <w:r w:rsidRPr="000368B8">
        <w:rPr>
          <w:rFonts w:ascii="Times New Roman" w:eastAsia="Times New Roman" w:hAnsi="Times New Roman" w:cs="Times New Roman"/>
          <w:sz w:val="36"/>
          <w:szCs w:val="24"/>
          <w:highlight w:val="green"/>
          <w:lang w:val="en"/>
        </w:rPr>
        <w:t xml:space="preserve">, </w:t>
      </w:r>
      <w:hyperlink r:id="rId50" w:tooltip="SEP-IRA" w:history="1">
        <w:r w:rsidRPr="000368B8">
          <w:rPr>
            <w:rFonts w:ascii="Times New Roman" w:eastAsia="Times New Roman" w:hAnsi="Times New Roman" w:cs="Times New Roman"/>
            <w:sz w:val="36"/>
            <w:szCs w:val="24"/>
            <w:highlight w:val="green"/>
            <w:lang w:val="en"/>
          </w:rPr>
          <w:t>SEP-IRA</w:t>
        </w:r>
      </w:hyperlink>
      <w:r w:rsidRPr="000368B8">
        <w:rPr>
          <w:rFonts w:ascii="Times New Roman" w:eastAsia="Times New Roman" w:hAnsi="Times New Roman" w:cs="Times New Roman"/>
          <w:sz w:val="36"/>
          <w:szCs w:val="24"/>
          <w:highlight w:val="green"/>
          <w:lang w:val="en"/>
        </w:rPr>
        <w:t>, etc.)</w:t>
      </w:r>
    </w:p>
    <w:sectPr w:rsidR="000368B8" w:rsidRPr="000368B8" w:rsidSect="000368B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764"/>
    <w:multiLevelType w:val="multilevel"/>
    <w:tmpl w:val="23221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5776C"/>
    <w:multiLevelType w:val="multilevel"/>
    <w:tmpl w:val="9180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22887"/>
    <w:multiLevelType w:val="multilevel"/>
    <w:tmpl w:val="019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6F65AE"/>
    <w:multiLevelType w:val="multilevel"/>
    <w:tmpl w:val="3AF6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067E6"/>
    <w:multiLevelType w:val="multilevel"/>
    <w:tmpl w:val="690C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237B3"/>
    <w:multiLevelType w:val="multilevel"/>
    <w:tmpl w:val="29B4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B91B73"/>
    <w:multiLevelType w:val="multilevel"/>
    <w:tmpl w:val="795E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4F5A2E"/>
    <w:multiLevelType w:val="multilevel"/>
    <w:tmpl w:val="D338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44DF7"/>
    <w:multiLevelType w:val="multilevel"/>
    <w:tmpl w:val="6C5E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5669A3"/>
    <w:multiLevelType w:val="multilevel"/>
    <w:tmpl w:val="CDEE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654866"/>
    <w:multiLevelType w:val="multilevel"/>
    <w:tmpl w:val="5920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4"/>
  </w:num>
  <w:num w:numId="4">
    <w:abstractNumId w:val="7"/>
  </w:num>
  <w:num w:numId="5">
    <w:abstractNumId w:val="5"/>
  </w:num>
  <w:num w:numId="6">
    <w:abstractNumId w:val="9"/>
  </w:num>
  <w:num w:numId="7">
    <w:abstractNumId w:val="3"/>
  </w:num>
  <w:num w:numId="8">
    <w:abstractNumId w:val="2"/>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2D"/>
    <w:rsid w:val="000368B8"/>
    <w:rsid w:val="002B6D1B"/>
    <w:rsid w:val="00304EEF"/>
    <w:rsid w:val="00AC652D"/>
    <w:rsid w:val="00D41B3A"/>
    <w:rsid w:val="00DF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A9B9F-35C8-4A9F-A8E0-E5DA52C3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65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52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65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652D"/>
    <w:rPr>
      <w:color w:val="0000FF"/>
      <w:u w:val="single"/>
    </w:rPr>
  </w:style>
  <w:style w:type="character" w:styleId="Strong">
    <w:name w:val="Strong"/>
    <w:basedOn w:val="DefaultParagraphFont"/>
    <w:uiPriority w:val="22"/>
    <w:qFormat/>
    <w:rsid w:val="00AC652D"/>
    <w:rPr>
      <w:b/>
      <w:bCs/>
    </w:rPr>
  </w:style>
  <w:style w:type="character" w:customStyle="1" w:styleId="metadata">
    <w:name w:val="metadata"/>
    <w:basedOn w:val="DefaultParagraphFont"/>
    <w:rsid w:val="00304EEF"/>
  </w:style>
  <w:style w:type="paragraph" w:styleId="ListParagraph">
    <w:name w:val="List Paragraph"/>
    <w:basedOn w:val="Normal"/>
    <w:uiPriority w:val="34"/>
    <w:qFormat/>
    <w:rsid w:val="00036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2168">
      <w:bodyDiv w:val="1"/>
      <w:marLeft w:val="0"/>
      <w:marRight w:val="0"/>
      <w:marTop w:val="0"/>
      <w:marBottom w:val="0"/>
      <w:divBdr>
        <w:top w:val="none" w:sz="0" w:space="0" w:color="auto"/>
        <w:left w:val="none" w:sz="0" w:space="0" w:color="auto"/>
        <w:bottom w:val="none" w:sz="0" w:space="0" w:color="auto"/>
        <w:right w:val="none" w:sz="0" w:space="0" w:color="auto"/>
      </w:divBdr>
      <w:divsChild>
        <w:div w:id="2125078703">
          <w:marLeft w:val="0"/>
          <w:marRight w:val="0"/>
          <w:marTop w:val="0"/>
          <w:marBottom w:val="0"/>
          <w:divBdr>
            <w:top w:val="none" w:sz="0" w:space="0" w:color="auto"/>
            <w:left w:val="none" w:sz="0" w:space="0" w:color="auto"/>
            <w:bottom w:val="none" w:sz="0" w:space="0" w:color="auto"/>
            <w:right w:val="none" w:sz="0" w:space="0" w:color="auto"/>
          </w:divBdr>
          <w:divsChild>
            <w:div w:id="1476944786">
              <w:marLeft w:val="0"/>
              <w:marRight w:val="0"/>
              <w:marTop w:val="0"/>
              <w:marBottom w:val="0"/>
              <w:divBdr>
                <w:top w:val="none" w:sz="0" w:space="0" w:color="auto"/>
                <w:left w:val="none" w:sz="0" w:space="0" w:color="auto"/>
                <w:bottom w:val="none" w:sz="0" w:space="0" w:color="auto"/>
                <w:right w:val="none" w:sz="0" w:space="0" w:color="auto"/>
              </w:divBdr>
            </w:div>
          </w:divsChild>
        </w:div>
        <w:div w:id="586498243">
          <w:marLeft w:val="0"/>
          <w:marRight w:val="0"/>
          <w:marTop w:val="0"/>
          <w:marBottom w:val="0"/>
          <w:divBdr>
            <w:top w:val="none" w:sz="0" w:space="0" w:color="auto"/>
            <w:left w:val="none" w:sz="0" w:space="0" w:color="auto"/>
            <w:bottom w:val="none" w:sz="0" w:space="0" w:color="auto"/>
            <w:right w:val="none" w:sz="0" w:space="0" w:color="auto"/>
          </w:divBdr>
          <w:divsChild>
            <w:div w:id="1615553873">
              <w:marLeft w:val="0"/>
              <w:marRight w:val="0"/>
              <w:marTop w:val="0"/>
              <w:marBottom w:val="0"/>
              <w:divBdr>
                <w:top w:val="none" w:sz="0" w:space="0" w:color="auto"/>
                <w:left w:val="none" w:sz="0" w:space="0" w:color="auto"/>
                <w:bottom w:val="none" w:sz="0" w:space="0" w:color="auto"/>
                <w:right w:val="none" w:sz="0" w:space="0" w:color="auto"/>
              </w:divBdr>
            </w:div>
            <w:div w:id="1962226986">
              <w:marLeft w:val="0"/>
              <w:marRight w:val="0"/>
              <w:marTop w:val="0"/>
              <w:marBottom w:val="0"/>
              <w:divBdr>
                <w:top w:val="none" w:sz="0" w:space="0" w:color="auto"/>
                <w:left w:val="none" w:sz="0" w:space="0" w:color="auto"/>
                <w:bottom w:val="none" w:sz="0" w:space="0" w:color="auto"/>
                <w:right w:val="none" w:sz="0" w:space="0" w:color="auto"/>
              </w:divBdr>
            </w:div>
            <w:div w:id="467749612">
              <w:marLeft w:val="0"/>
              <w:marRight w:val="0"/>
              <w:marTop w:val="0"/>
              <w:marBottom w:val="0"/>
              <w:divBdr>
                <w:top w:val="none" w:sz="0" w:space="0" w:color="auto"/>
                <w:left w:val="none" w:sz="0" w:space="0" w:color="auto"/>
                <w:bottom w:val="none" w:sz="0" w:space="0" w:color="auto"/>
                <w:right w:val="none" w:sz="0" w:space="0" w:color="auto"/>
              </w:divBdr>
            </w:div>
            <w:div w:id="19022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8513">
      <w:bodyDiv w:val="1"/>
      <w:marLeft w:val="0"/>
      <w:marRight w:val="0"/>
      <w:marTop w:val="0"/>
      <w:marBottom w:val="0"/>
      <w:divBdr>
        <w:top w:val="none" w:sz="0" w:space="0" w:color="auto"/>
        <w:left w:val="none" w:sz="0" w:space="0" w:color="auto"/>
        <w:bottom w:val="none" w:sz="0" w:space="0" w:color="auto"/>
        <w:right w:val="none" w:sz="0" w:space="0" w:color="auto"/>
      </w:divBdr>
      <w:divsChild>
        <w:div w:id="294651155">
          <w:marLeft w:val="0"/>
          <w:marRight w:val="0"/>
          <w:marTop w:val="0"/>
          <w:marBottom w:val="0"/>
          <w:divBdr>
            <w:top w:val="none" w:sz="0" w:space="0" w:color="auto"/>
            <w:left w:val="none" w:sz="0" w:space="0" w:color="auto"/>
            <w:bottom w:val="none" w:sz="0" w:space="0" w:color="auto"/>
            <w:right w:val="none" w:sz="0" w:space="0" w:color="auto"/>
          </w:divBdr>
          <w:divsChild>
            <w:div w:id="1185097100">
              <w:marLeft w:val="0"/>
              <w:marRight w:val="0"/>
              <w:marTop w:val="0"/>
              <w:marBottom w:val="0"/>
              <w:divBdr>
                <w:top w:val="none" w:sz="0" w:space="0" w:color="auto"/>
                <w:left w:val="none" w:sz="0" w:space="0" w:color="auto"/>
                <w:bottom w:val="none" w:sz="0" w:space="0" w:color="auto"/>
                <w:right w:val="none" w:sz="0" w:space="0" w:color="auto"/>
              </w:divBdr>
            </w:div>
          </w:divsChild>
        </w:div>
        <w:div w:id="595792448">
          <w:marLeft w:val="0"/>
          <w:marRight w:val="0"/>
          <w:marTop w:val="0"/>
          <w:marBottom w:val="0"/>
          <w:divBdr>
            <w:top w:val="none" w:sz="0" w:space="0" w:color="auto"/>
            <w:left w:val="none" w:sz="0" w:space="0" w:color="auto"/>
            <w:bottom w:val="none" w:sz="0" w:space="0" w:color="auto"/>
            <w:right w:val="none" w:sz="0" w:space="0" w:color="auto"/>
          </w:divBdr>
          <w:divsChild>
            <w:div w:id="2062627681">
              <w:marLeft w:val="0"/>
              <w:marRight w:val="0"/>
              <w:marTop w:val="0"/>
              <w:marBottom w:val="0"/>
              <w:divBdr>
                <w:top w:val="none" w:sz="0" w:space="0" w:color="auto"/>
                <w:left w:val="none" w:sz="0" w:space="0" w:color="auto"/>
                <w:bottom w:val="none" w:sz="0" w:space="0" w:color="auto"/>
                <w:right w:val="none" w:sz="0" w:space="0" w:color="auto"/>
              </w:divBdr>
              <w:divsChild>
                <w:div w:id="8299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3545">
          <w:marLeft w:val="0"/>
          <w:marRight w:val="0"/>
          <w:marTop w:val="0"/>
          <w:marBottom w:val="0"/>
          <w:divBdr>
            <w:top w:val="none" w:sz="0" w:space="0" w:color="auto"/>
            <w:left w:val="none" w:sz="0" w:space="0" w:color="auto"/>
            <w:bottom w:val="none" w:sz="0" w:space="0" w:color="auto"/>
            <w:right w:val="none" w:sz="0" w:space="0" w:color="auto"/>
          </w:divBdr>
          <w:divsChild>
            <w:div w:id="1855221713">
              <w:marLeft w:val="0"/>
              <w:marRight w:val="0"/>
              <w:marTop w:val="0"/>
              <w:marBottom w:val="0"/>
              <w:divBdr>
                <w:top w:val="none" w:sz="0" w:space="0" w:color="auto"/>
                <w:left w:val="none" w:sz="0" w:space="0" w:color="auto"/>
                <w:bottom w:val="none" w:sz="0" w:space="0" w:color="auto"/>
                <w:right w:val="none" w:sz="0" w:space="0" w:color="auto"/>
              </w:divBdr>
              <w:divsChild>
                <w:div w:id="8137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2329">
      <w:bodyDiv w:val="1"/>
      <w:marLeft w:val="0"/>
      <w:marRight w:val="0"/>
      <w:marTop w:val="0"/>
      <w:marBottom w:val="0"/>
      <w:divBdr>
        <w:top w:val="none" w:sz="0" w:space="0" w:color="auto"/>
        <w:left w:val="none" w:sz="0" w:space="0" w:color="auto"/>
        <w:bottom w:val="none" w:sz="0" w:space="0" w:color="auto"/>
        <w:right w:val="none" w:sz="0" w:space="0" w:color="auto"/>
      </w:divBdr>
    </w:div>
    <w:div w:id="1057163147">
      <w:bodyDiv w:val="1"/>
      <w:marLeft w:val="0"/>
      <w:marRight w:val="0"/>
      <w:marTop w:val="0"/>
      <w:marBottom w:val="0"/>
      <w:divBdr>
        <w:top w:val="none" w:sz="0" w:space="0" w:color="auto"/>
        <w:left w:val="none" w:sz="0" w:space="0" w:color="auto"/>
        <w:bottom w:val="none" w:sz="0" w:space="0" w:color="auto"/>
        <w:right w:val="none" w:sz="0" w:space="0" w:color="auto"/>
      </w:divBdr>
    </w:div>
    <w:div w:id="1266884053">
      <w:bodyDiv w:val="1"/>
      <w:marLeft w:val="0"/>
      <w:marRight w:val="0"/>
      <w:marTop w:val="0"/>
      <w:marBottom w:val="0"/>
      <w:divBdr>
        <w:top w:val="none" w:sz="0" w:space="0" w:color="auto"/>
        <w:left w:val="none" w:sz="0" w:space="0" w:color="auto"/>
        <w:bottom w:val="none" w:sz="0" w:space="0" w:color="auto"/>
        <w:right w:val="none" w:sz="0" w:space="0" w:color="auto"/>
      </w:divBdr>
      <w:divsChild>
        <w:div w:id="1304888630">
          <w:marLeft w:val="0"/>
          <w:marRight w:val="0"/>
          <w:marTop w:val="0"/>
          <w:marBottom w:val="0"/>
          <w:divBdr>
            <w:top w:val="none" w:sz="0" w:space="0" w:color="auto"/>
            <w:left w:val="none" w:sz="0" w:space="0" w:color="auto"/>
            <w:bottom w:val="none" w:sz="0" w:space="0" w:color="auto"/>
            <w:right w:val="none" w:sz="0" w:space="0" w:color="auto"/>
          </w:divBdr>
          <w:divsChild>
            <w:div w:id="972713910">
              <w:marLeft w:val="0"/>
              <w:marRight w:val="0"/>
              <w:marTop w:val="0"/>
              <w:marBottom w:val="0"/>
              <w:divBdr>
                <w:top w:val="none" w:sz="0" w:space="0" w:color="auto"/>
                <w:left w:val="none" w:sz="0" w:space="0" w:color="auto"/>
                <w:bottom w:val="none" w:sz="0" w:space="0" w:color="auto"/>
                <w:right w:val="none" w:sz="0" w:space="0" w:color="auto"/>
              </w:divBdr>
            </w:div>
          </w:divsChild>
        </w:div>
        <w:div w:id="1790123265">
          <w:marLeft w:val="0"/>
          <w:marRight w:val="0"/>
          <w:marTop w:val="0"/>
          <w:marBottom w:val="0"/>
          <w:divBdr>
            <w:top w:val="none" w:sz="0" w:space="0" w:color="auto"/>
            <w:left w:val="none" w:sz="0" w:space="0" w:color="auto"/>
            <w:bottom w:val="none" w:sz="0" w:space="0" w:color="auto"/>
            <w:right w:val="none" w:sz="0" w:space="0" w:color="auto"/>
          </w:divBdr>
        </w:div>
      </w:divsChild>
    </w:div>
    <w:div w:id="1284068962">
      <w:bodyDiv w:val="1"/>
      <w:marLeft w:val="0"/>
      <w:marRight w:val="0"/>
      <w:marTop w:val="0"/>
      <w:marBottom w:val="0"/>
      <w:divBdr>
        <w:top w:val="none" w:sz="0" w:space="0" w:color="auto"/>
        <w:left w:val="none" w:sz="0" w:space="0" w:color="auto"/>
        <w:bottom w:val="none" w:sz="0" w:space="0" w:color="auto"/>
        <w:right w:val="none" w:sz="0" w:space="0" w:color="auto"/>
      </w:divBdr>
    </w:div>
    <w:div w:id="1374647011">
      <w:bodyDiv w:val="1"/>
      <w:marLeft w:val="0"/>
      <w:marRight w:val="0"/>
      <w:marTop w:val="0"/>
      <w:marBottom w:val="0"/>
      <w:divBdr>
        <w:top w:val="none" w:sz="0" w:space="0" w:color="auto"/>
        <w:left w:val="none" w:sz="0" w:space="0" w:color="auto"/>
        <w:bottom w:val="none" w:sz="0" w:space="0" w:color="auto"/>
        <w:right w:val="none" w:sz="0" w:space="0" w:color="auto"/>
      </w:divBdr>
    </w:div>
    <w:div w:id="152994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403%28b%29" TargetMode="External"/><Relationship Id="rId18" Type="http://schemas.openxmlformats.org/officeDocument/2006/relationships/hyperlink" Target="https://en.wikipedia.org/wiki/Individual_retirement_account" TargetMode="External"/><Relationship Id="rId26" Type="http://schemas.openxmlformats.org/officeDocument/2006/relationships/hyperlink" Target="https://en.wikipedia.org/wiki/Traditional_IRA" TargetMode="External"/><Relationship Id="rId39" Type="http://schemas.openxmlformats.org/officeDocument/2006/relationships/hyperlink" Target="https://en.wikipedia.org/wiki/Substantially_equal_periodic_payments" TargetMode="External"/><Relationship Id="rId21" Type="http://schemas.openxmlformats.org/officeDocument/2006/relationships/hyperlink" Target="https://en.wikipedia.org/wiki/Individual_retirement_account" TargetMode="External"/><Relationship Id="rId34" Type="http://schemas.openxmlformats.org/officeDocument/2006/relationships/hyperlink" Target="https://en.wikipedia.org/wiki/SIMPLE_IRA" TargetMode="External"/><Relationship Id="rId42" Type="http://schemas.openxmlformats.org/officeDocument/2006/relationships/hyperlink" Target="https://en.wikipedia.org/wiki/Self-employment" TargetMode="External"/><Relationship Id="rId47" Type="http://schemas.openxmlformats.org/officeDocument/2006/relationships/hyperlink" Target="https://en.wikipedia.org/wiki/Keogh_Plan" TargetMode="External"/><Relationship Id="rId50" Type="http://schemas.openxmlformats.org/officeDocument/2006/relationships/hyperlink" Target="https://en.wikipedia.org/wiki/SEP-IRA" TargetMode="External"/><Relationship Id="rId7" Type="http://schemas.openxmlformats.org/officeDocument/2006/relationships/hyperlink" Target="https://en.wikipedia.org/wiki/Pension" TargetMode="External"/><Relationship Id="rId2" Type="http://schemas.openxmlformats.org/officeDocument/2006/relationships/styles" Target="styles.xml"/><Relationship Id="rId16" Type="http://schemas.openxmlformats.org/officeDocument/2006/relationships/hyperlink" Target="https://en.wikipedia.org/wiki/Individual_retirement_account" TargetMode="External"/><Relationship Id="rId29" Type="http://schemas.openxmlformats.org/officeDocument/2006/relationships/hyperlink" Target="https://en.wikipedia.org/wiki/Roth_IRA" TargetMode="External"/><Relationship Id="rId11" Type="http://schemas.openxmlformats.org/officeDocument/2006/relationships/hyperlink" Target="https://en.wikipedia.org/wiki/401%28k%29" TargetMode="External"/><Relationship Id="rId24" Type="http://schemas.openxmlformats.org/officeDocument/2006/relationships/hyperlink" Target="https://en.wikipedia.org/wiki/Individual_retirement_account" TargetMode="External"/><Relationship Id="rId32" Type="http://schemas.openxmlformats.org/officeDocument/2006/relationships/hyperlink" Target="https://en.wikipedia.org/wiki/MyRA" TargetMode="External"/><Relationship Id="rId37" Type="http://schemas.openxmlformats.org/officeDocument/2006/relationships/hyperlink" Target="https://en.wikipedia.org/wiki/Alternative_investments" TargetMode="External"/><Relationship Id="rId40" Type="http://schemas.openxmlformats.org/officeDocument/2006/relationships/hyperlink" Target="https://en.wikipedia.org/wiki/File:Eugene_J._Keogh.jpg" TargetMode="External"/><Relationship Id="rId45" Type="http://schemas.openxmlformats.org/officeDocument/2006/relationships/hyperlink" Target="https://en.wikipedia.org/wiki/Bond_%28finance%29" TargetMode="External"/><Relationship Id="rId5" Type="http://schemas.openxmlformats.org/officeDocument/2006/relationships/hyperlink" Target="https://en.wikipedia.org/wiki/United_States" TargetMode="External"/><Relationship Id="rId15" Type="http://schemas.openxmlformats.org/officeDocument/2006/relationships/hyperlink" Target="https://en.wikipedia.org/wiki/401%28a%29" TargetMode="External"/><Relationship Id="rId23" Type="http://schemas.openxmlformats.org/officeDocument/2006/relationships/hyperlink" Target="https://en.wikipedia.org/wiki/Annuity_%28US_financial_products%29" TargetMode="External"/><Relationship Id="rId28" Type="http://schemas.openxmlformats.org/officeDocument/2006/relationships/hyperlink" Target="https://en.wikipedia.org/wiki/Economic_Recovery_Tax_Act_of_1981" TargetMode="External"/><Relationship Id="rId36" Type="http://schemas.openxmlformats.org/officeDocument/2006/relationships/hyperlink" Target="https://en.wikipedia.org/wiki/Security_%28finance%29" TargetMode="External"/><Relationship Id="rId49" Type="http://schemas.openxmlformats.org/officeDocument/2006/relationships/hyperlink" Target="https://en.wikipedia.org/wiki/401k" TargetMode="External"/><Relationship Id="rId10" Type="http://schemas.openxmlformats.org/officeDocument/2006/relationships/hyperlink" Target="https://en.wikipedia.org/wiki/Tax_deferral" TargetMode="External"/><Relationship Id="rId19" Type="http://schemas.openxmlformats.org/officeDocument/2006/relationships/hyperlink" Target="https://en.wikipedia.org/wiki/Tax_advantage" TargetMode="External"/><Relationship Id="rId31" Type="http://schemas.openxmlformats.org/officeDocument/2006/relationships/hyperlink" Target="https://en.wikipedia.org/wiki/Taxpayer_Relief_Act_of_1997" TargetMode="External"/><Relationship Id="rId44" Type="http://schemas.openxmlformats.org/officeDocument/2006/relationships/hyperlink" Target="https://en.wikipedia.org/wiki/Stock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401%28k%29" TargetMode="External"/><Relationship Id="rId14" Type="http://schemas.openxmlformats.org/officeDocument/2006/relationships/hyperlink" Target="https://en.wikipedia.org/wiki/457_plan" TargetMode="External"/><Relationship Id="rId22" Type="http://schemas.openxmlformats.org/officeDocument/2006/relationships/hyperlink" Target="https://en.wikipedia.org/wiki/Individual_retirement_account" TargetMode="External"/><Relationship Id="rId27" Type="http://schemas.openxmlformats.org/officeDocument/2006/relationships/hyperlink" Target="https://en.wikipedia.org/wiki/Employee_Retirement_Income_Security_Act" TargetMode="External"/><Relationship Id="rId30" Type="http://schemas.openxmlformats.org/officeDocument/2006/relationships/hyperlink" Target="https://en.wikipedia.org/wiki/William_V._Roth,_Jr." TargetMode="External"/><Relationship Id="rId35" Type="http://schemas.openxmlformats.org/officeDocument/2006/relationships/hyperlink" Target="https://en.wikipedia.org/wiki/401%28k%29" TargetMode="External"/><Relationship Id="rId43" Type="http://schemas.openxmlformats.org/officeDocument/2006/relationships/hyperlink" Target="https://en.wikipedia.org/wiki/Small_businesses" TargetMode="External"/><Relationship Id="rId48" Type="http://schemas.openxmlformats.org/officeDocument/2006/relationships/hyperlink" Target="https://en.wikipedia.org/wiki/Roth_IRA" TargetMode="External"/><Relationship Id="rId8" Type="http://schemas.openxmlformats.org/officeDocument/2006/relationships/hyperlink" Target="https://en.wikipedia.org/wiki/Internal_Revenue_Code"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401%28k%29" TargetMode="External"/><Relationship Id="rId17" Type="http://schemas.openxmlformats.org/officeDocument/2006/relationships/hyperlink" Target="https://en.wikipedia.org/wiki/Retirement_plan" TargetMode="External"/><Relationship Id="rId25" Type="http://schemas.openxmlformats.org/officeDocument/2006/relationships/hyperlink" Target="https://en.wikipedia.org/wiki/Individual_retirement_account" TargetMode="External"/><Relationship Id="rId33" Type="http://schemas.openxmlformats.org/officeDocument/2006/relationships/hyperlink" Target="https://en.wikipedia.org/wiki/SEP_IRA" TargetMode="External"/><Relationship Id="rId38" Type="http://schemas.openxmlformats.org/officeDocument/2006/relationships/hyperlink" Target="https://en.wikipedia.org/wiki/Life_insurance" TargetMode="External"/><Relationship Id="rId46" Type="http://schemas.openxmlformats.org/officeDocument/2006/relationships/hyperlink" Target="https://en.wikipedia.org/wiki/Mutual_funds" TargetMode="External"/><Relationship Id="rId20" Type="http://schemas.openxmlformats.org/officeDocument/2006/relationships/hyperlink" Target="https://en.wikipedia.org/wiki/Retirement" TargetMode="External"/><Relationship Id="rId41"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en.wikipedia.org/wiki/Defined_con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Cabrillo College</Company>
  <LinksUpToDate>false</LinksUpToDate>
  <CharactersWithSpaces>12604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Mullin</dc:creator>
  <cp:keywords/>
  <dc:description/>
  <cp:lastModifiedBy>Terry Mullin</cp:lastModifiedBy>
  <cp:revision>1</cp:revision>
  <dcterms:created xsi:type="dcterms:W3CDTF">2016-03-07T20:40:00Z</dcterms:created>
  <dcterms:modified xsi:type="dcterms:W3CDTF">2016-03-07T21:20:00Z</dcterms:modified>
</cp:coreProperties>
</file>